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7F64B" w14:textId="6CB982B0" w:rsidR="00552127" w:rsidRDefault="00552127" w:rsidP="00552127">
      <w:pPr>
        <w:jc w:val="center"/>
        <w:rPr>
          <w:b/>
        </w:rPr>
      </w:pPr>
      <w:r>
        <w:rPr>
          <w:b/>
        </w:rPr>
        <w:t>UK Counseling Psychology PhD Program: Course Waiver Protocol (</w:t>
      </w:r>
      <w:r w:rsidRPr="00E17392">
        <w:rPr>
          <w:b/>
          <w:highlight w:val="yellow"/>
        </w:rPr>
        <w:t xml:space="preserve">Revised </w:t>
      </w:r>
      <w:r w:rsidR="00C82BDA" w:rsidRPr="00E17392">
        <w:rPr>
          <w:b/>
          <w:highlight w:val="yellow"/>
        </w:rPr>
        <w:t>8</w:t>
      </w:r>
      <w:r w:rsidRPr="00E17392">
        <w:rPr>
          <w:b/>
          <w:highlight w:val="yellow"/>
        </w:rPr>
        <w:t>-</w:t>
      </w:r>
      <w:r w:rsidR="00C82BDA" w:rsidRPr="00E17392">
        <w:rPr>
          <w:b/>
          <w:highlight w:val="yellow"/>
        </w:rPr>
        <w:t>1</w:t>
      </w:r>
      <w:r w:rsidR="00E10281">
        <w:rPr>
          <w:b/>
          <w:highlight w:val="yellow"/>
        </w:rPr>
        <w:t>9</w:t>
      </w:r>
      <w:r w:rsidR="00E576BD" w:rsidRPr="00E17392">
        <w:rPr>
          <w:b/>
          <w:highlight w:val="yellow"/>
        </w:rPr>
        <w:t>-2</w:t>
      </w:r>
      <w:r w:rsidR="00C82BDA" w:rsidRPr="00E17392">
        <w:rPr>
          <w:b/>
          <w:highlight w:val="yellow"/>
        </w:rPr>
        <w:t>2</w:t>
      </w:r>
      <w:r w:rsidRPr="00E17392">
        <w:rPr>
          <w:b/>
          <w:highlight w:val="yellow"/>
        </w:rPr>
        <w:t>)</w:t>
      </w:r>
    </w:p>
    <w:p w14:paraId="3C2EAEF6" w14:textId="77777777" w:rsidR="00001D0E" w:rsidRDefault="00001D0E">
      <w:pPr>
        <w:rPr>
          <w:b/>
        </w:rPr>
      </w:pPr>
    </w:p>
    <w:p w14:paraId="0E54BEFD" w14:textId="50EF9106" w:rsidR="00F25772" w:rsidRDefault="005300BF" w:rsidP="00D55BB3">
      <w:pPr>
        <w:pStyle w:val="NoSpacing"/>
        <w:numPr>
          <w:ilvl w:val="0"/>
          <w:numId w:val="4"/>
        </w:numPr>
      </w:pPr>
      <w:r>
        <w:t>Incoming post-master’s PhD students who hope to waive courses that, if not waived, would otherwise need to be taken their first fall semester in the PhD program</w:t>
      </w:r>
      <w:r w:rsidR="00F25772">
        <w:t xml:space="preserve"> (the Director of Doctoral Training or the student’s </w:t>
      </w:r>
      <w:r w:rsidR="005B1B81">
        <w:t>advisor</w:t>
      </w:r>
      <w:r w:rsidR="00F25772">
        <w:t xml:space="preserve"> can give guidance on this)</w:t>
      </w:r>
      <w:r>
        <w:t xml:space="preserve">, need to work with their </w:t>
      </w:r>
      <w:r w:rsidR="005B1B81">
        <w:t>advisor</w:t>
      </w:r>
      <w:r>
        <w:t xml:space="preserve"> to seek course waivers soon after accepting an offer of admission</w:t>
      </w:r>
      <w:r w:rsidR="00F25772">
        <w:t xml:space="preserve"> to the PhD program in the Spring semester prior to matriculation</w:t>
      </w:r>
      <w:r>
        <w:t xml:space="preserve">.  This is because </w:t>
      </w:r>
      <w:r w:rsidR="00F25772">
        <w:t xml:space="preserve">most </w:t>
      </w:r>
      <w:r>
        <w:t xml:space="preserve">new students register for fall courses in the prior </w:t>
      </w:r>
      <w:proofErr w:type="gramStart"/>
      <w:r>
        <w:t>April, before</w:t>
      </w:r>
      <w:proofErr w:type="gramEnd"/>
      <w:r>
        <w:t xml:space="preserve"> </w:t>
      </w:r>
      <w:r w:rsidR="00F25772">
        <w:t xml:space="preserve">available seats in that class </w:t>
      </w:r>
      <w:r>
        <w:t xml:space="preserve">fill up.  </w:t>
      </w:r>
      <w:r w:rsidR="00F25772">
        <w:t>University policy allows incoming domestic students to register for courses in late April prior to their matriculation, and allow</w:t>
      </w:r>
      <w:r w:rsidR="00B62D40">
        <w:t>s</w:t>
      </w:r>
      <w:r w:rsidR="00F25772">
        <w:t xml:space="preserve"> incoming international students to register for courses at earliest 30 days prior to the fall semester start date.  </w:t>
      </w:r>
    </w:p>
    <w:p w14:paraId="6FB4DEA7" w14:textId="0F8F1885" w:rsidR="005300BF" w:rsidRDefault="005300BF" w:rsidP="00D55BB3">
      <w:pPr>
        <w:pStyle w:val="NoSpacing"/>
        <w:numPr>
          <w:ilvl w:val="0"/>
          <w:numId w:val="4"/>
        </w:numPr>
      </w:pPr>
      <w:r>
        <w:t xml:space="preserve">For courses the student wishes to waive that </w:t>
      </w:r>
      <w:r w:rsidR="00B62D40">
        <w:t>are not needed</w:t>
      </w:r>
      <w:r>
        <w:t xml:space="preserve"> to be taken during the first fall semester</w:t>
      </w:r>
      <w:r w:rsidR="00B62D40">
        <w:t xml:space="preserve"> of the PhD program</w:t>
      </w:r>
      <w:r>
        <w:t>, th</w:t>
      </w:r>
      <w:r w:rsidR="00F25772">
        <w:t xml:space="preserve">e course waiver planning </w:t>
      </w:r>
      <w:r>
        <w:t xml:space="preserve">discussion with their </w:t>
      </w:r>
      <w:r w:rsidR="005B1B81">
        <w:t>advisor</w:t>
      </w:r>
      <w:r>
        <w:t xml:space="preserve"> can occur in September of their first fall semester. </w:t>
      </w:r>
      <w:r w:rsidR="00F25772">
        <w:t xml:space="preserve">Registration for </w:t>
      </w:r>
      <w:r w:rsidR="00B62D40">
        <w:t>S</w:t>
      </w:r>
      <w:r w:rsidR="00F25772">
        <w:t>pring semester occurs in October and the PhD Program of Study needs to be approved in the Spring semester, so decisions about waivers should be made early in the first fall semester.</w:t>
      </w:r>
    </w:p>
    <w:p w14:paraId="2E3F4415" w14:textId="1FFD1FE0" w:rsidR="00A04A92" w:rsidRPr="00744527" w:rsidRDefault="00B62D40" w:rsidP="00D55BB3">
      <w:pPr>
        <w:pStyle w:val="NoSpacing"/>
        <w:numPr>
          <w:ilvl w:val="0"/>
          <w:numId w:val="4"/>
        </w:numPr>
      </w:pPr>
      <w:r>
        <w:t>The fir</w:t>
      </w:r>
      <w:r w:rsidRPr="00E17392">
        <w:t xml:space="preserve">st step is for students to </w:t>
      </w:r>
      <w:r w:rsidRPr="00AD3216">
        <w:rPr>
          <w:b/>
          <w:bCs/>
        </w:rPr>
        <w:t>get copies of the most recent syllabus of all required UK courses listed on the PhD Program of Study</w:t>
      </w:r>
      <w:r w:rsidRPr="00E17392">
        <w:t>.  The Director of Doctoral Training can provide new students with access to these syllabi upon request.</w:t>
      </w:r>
      <w:r w:rsidR="00AD3216">
        <w:t xml:space="preserve"> S</w:t>
      </w:r>
      <w:r w:rsidRPr="00E17392">
        <w:t xml:space="preserve">tudents should study the syllabi for required UK courses to see which of their old graduate-level courses may be </w:t>
      </w:r>
      <w:r w:rsidRPr="00744527">
        <w:t xml:space="preserve">equivalent </w:t>
      </w:r>
      <w:r w:rsidR="00744527" w:rsidRPr="00744527">
        <w:t>(see criteria below)</w:t>
      </w:r>
      <w:r w:rsidRPr="00744527">
        <w:t xml:space="preserve"> to required UK courses.</w:t>
      </w:r>
      <w:r w:rsidR="000D7DE8" w:rsidRPr="00744527">
        <w:t xml:space="preserve"> </w:t>
      </w:r>
    </w:p>
    <w:p w14:paraId="72EA3079" w14:textId="0287C939" w:rsidR="00B62D40" w:rsidRDefault="000D7DE8" w:rsidP="00D55BB3">
      <w:pPr>
        <w:pStyle w:val="NoSpacing"/>
        <w:numPr>
          <w:ilvl w:val="0"/>
          <w:numId w:val="4"/>
        </w:numPr>
      </w:pPr>
      <w:r w:rsidRPr="2102A0CA">
        <w:rPr>
          <w:b/>
          <w:bCs/>
        </w:rPr>
        <w:t xml:space="preserve">Students </w:t>
      </w:r>
      <w:r w:rsidR="00A04A92">
        <w:rPr>
          <w:b/>
          <w:bCs/>
        </w:rPr>
        <w:t>will then</w:t>
      </w:r>
      <w:r w:rsidRPr="2102A0CA">
        <w:rPr>
          <w:b/>
          <w:bCs/>
        </w:rPr>
        <w:t xml:space="preserve"> fill out Table 1 </w:t>
      </w:r>
      <w:r w:rsidR="00840F0E" w:rsidRPr="2102A0CA">
        <w:rPr>
          <w:b/>
          <w:bCs/>
        </w:rPr>
        <w:t>and Table 2</w:t>
      </w:r>
      <w:r w:rsidR="00840F0E">
        <w:t xml:space="preserve"> </w:t>
      </w:r>
      <w:r>
        <w:t>at the bottom of this Protocol document to help determine potential equivalencies.</w:t>
      </w:r>
    </w:p>
    <w:p w14:paraId="231D58F4" w14:textId="4CBC8C0C" w:rsidR="002801A1" w:rsidRPr="005B1B81" w:rsidRDefault="002801A1" w:rsidP="00D55BB3">
      <w:pPr>
        <w:pStyle w:val="NoSpacing"/>
        <w:numPr>
          <w:ilvl w:val="0"/>
          <w:numId w:val="4"/>
        </w:numPr>
        <w:rPr>
          <w:b/>
          <w:bCs/>
        </w:rPr>
      </w:pPr>
      <w:r w:rsidRPr="005B1B81">
        <w:rPr>
          <w:b/>
          <w:bCs/>
        </w:rPr>
        <w:t>Here is guidance on determining whether you can waive a required UK course</w:t>
      </w:r>
      <w:r w:rsidR="005B1B81">
        <w:rPr>
          <w:b/>
          <w:bCs/>
        </w:rPr>
        <w:t xml:space="preserve"> by establishing the equivalency of prior courses:</w:t>
      </w:r>
    </w:p>
    <w:p w14:paraId="3DB391EE" w14:textId="2F7F198B" w:rsidR="002801A1" w:rsidRDefault="002801A1" w:rsidP="00C82BDA">
      <w:pPr>
        <w:pStyle w:val="NoSpacing"/>
        <w:numPr>
          <w:ilvl w:val="1"/>
          <w:numId w:val="3"/>
        </w:numPr>
      </w:pPr>
      <w:r>
        <w:t>The prior courses you are using for the waiver must be a graduate-level courses.  Undergraduate courses cannot count (this is an APA Accreditation requirement).</w:t>
      </w:r>
    </w:p>
    <w:p w14:paraId="3A03C583" w14:textId="56288D82" w:rsidR="002801A1" w:rsidRDefault="002801A1" w:rsidP="00C82BDA">
      <w:pPr>
        <w:pStyle w:val="NoSpacing"/>
        <w:numPr>
          <w:ilvl w:val="1"/>
          <w:numId w:val="3"/>
        </w:numPr>
      </w:pPr>
      <w:r>
        <w:t xml:space="preserve">The prior course must have </w:t>
      </w:r>
      <w:r w:rsidRPr="00AD3216">
        <w:rPr>
          <w:b/>
          <w:bCs/>
        </w:rPr>
        <w:t xml:space="preserve">&gt;90% </w:t>
      </w:r>
      <w:r w:rsidR="00136330" w:rsidRPr="00AD3216">
        <w:rPr>
          <w:b/>
          <w:bCs/>
        </w:rPr>
        <w:t xml:space="preserve">topical </w:t>
      </w:r>
      <w:r w:rsidRPr="00AD3216">
        <w:rPr>
          <w:b/>
          <w:bCs/>
        </w:rPr>
        <w:t>content overlap</w:t>
      </w:r>
      <w:r>
        <w:t xml:space="preserve"> with the UK course you are seeking to waive.</w:t>
      </w:r>
    </w:p>
    <w:p w14:paraId="2CF21F2B" w14:textId="32D395FC" w:rsidR="002801A1" w:rsidRDefault="002801A1" w:rsidP="00C82BDA">
      <w:pPr>
        <w:pStyle w:val="NoSpacing"/>
        <w:numPr>
          <w:ilvl w:val="1"/>
          <w:numId w:val="3"/>
        </w:numPr>
      </w:pPr>
      <w:r>
        <w:t>Students cannot use the same 1 prior course to waive two UK courses.</w:t>
      </w:r>
    </w:p>
    <w:p w14:paraId="714C3828" w14:textId="71FDB7C9" w:rsidR="00937684" w:rsidRDefault="002801A1" w:rsidP="00C82BDA">
      <w:pPr>
        <w:pStyle w:val="NoSpacing"/>
        <w:numPr>
          <w:ilvl w:val="1"/>
          <w:numId w:val="3"/>
        </w:numPr>
      </w:pPr>
      <w:r>
        <w:t xml:space="preserve">Students can use 1 or more prior courses to waive </w:t>
      </w:r>
      <w:r w:rsidR="00937684">
        <w:t xml:space="preserve">a </w:t>
      </w:r>
      <w:r>
        <w:t xml:space="preserve">UK course, provided the student can show how X portion of prior course A and Y portion of prior course B, when </w:t>
      </w:r>
      <w:proofErr w:type="gramStart"/>
      <w:r>
        <w:t>combined together</w:t>
      </w:r>
      <w:proofErr w:type="gramEnd"/>
      <w:r>
        <w:t>, collectively cover &gt;90% of the</w:t>
      </w:r>
      <w:r w:rsidR="00136330">
        <w:t xml:space="preserve"> topical</w:t>
      </w:r>
      <w:r>
        <w:t xml:space="preserve"> content of the one UK course.</w:t>
      </w:r>
      <w:r w:rsidR="00937684">
        <w:t xml:space="preserve"> </w:t>
      </w:r>
    </w:p>
    <w:p w14:paraId="7A2DA25C" w14:textId="66B60E37" w:rsidR="002801A1" w:rsidRDefault="00937684" w:rsidP="00C82BDA">
      <w:pPr>
        <w:pStyle w:val="NoSpacing"/>
        <w:numPr>
          <w:ilvl w:val="2"/>
          <w:numId w:val="3"/>
        </w:numPr>
      </w:pPr>
      <w:r>
        <w:t xml:space="preserve">This is not uncommon, as there are topics such as statistics/research methods that different universities tend to package differently; for example, some universities may have statistics and research methods taught in separate courses, whereas other universities may have a course sequence where some statistics and some research methods is taught in each course in the sequence. </w:t>
      </w:r>
    </w:p>
    <w:p w14:paraId="66424E47" w14:textId="5D9C989A" w:rsidR="002801A1" w:rsidRDefault="00937684" w:rsidP="00C82BDA">
      <w:pPr>
        <w:pStyle w:val="NoSpacing"/>
        <w:numPr>
          <w:ilvl w:val="1"/>
          <w:numId w:val="3"/>
        </w:numPr>
      </w:pPr>
      <w:r>
        <w:t xml:space="preserve">Students must provide appropriate written documentation as proof that the prior course covers &gt;90% of the </w:t>
      </w:r>
      <w:r w:rsidR="00136330">
        <w:t xml:space="preserve">topical </w:t>
      </w:r>
      <w:r>
        <w:t>content of the one UK course. Here is guidance on what constitutes “appropriate written documentation.”</w:t>
      </w:r>
    </w:p>
    <w:p w14:paraId="18FF73BD" w14:textId="77777777" w:rsidR="001D0EF0" w:rsidRDefault="00937684" w:rsidP="00C82BDA">
      <w:pPr>
        <w:pStyle w:val="NoSpacing"/>
        <w:numPr>
          <w:ilvl w:val="2"/>
          <w:numId w:val="3"/>
        </w:numPr>
      </w:pPr>
      <w:r>
        <w:t xml:space="preserve">The best form of documentation is </w:t>
      </w:r>
      <w:r w:rsidR="005F1A7E">
        <w:t>the prior course’s syllabus, provided that the syllabus provides the (</w:t>
      </w:r>
      <w:r w:rsidR="005F1A7E" w:rsidRPr="005F1A7E">
        <w:t xml:space="preserve">1) topics covered during </w:t>
      </w:r>
      <w:r w:rsidR="005F1A7E">
        <w:t>each weekly course seminar</w:t>
      </w:r>
      <w:r w:rsidR="005F1A7E" w:rsidRPr="005F1A7E">
        <w:t xml:space="preserve">, (2) </w:t>
      </w:r>
      <w:r w:rsidR="005F1A7E">
        <w:t xml:space="preserve">descriptions of </w:t>
      </w:r>
      <w:r w:rsidR="005F1A7E" w:rsidRPr="005F1A7E">
        <w:t>required assignments/assessments, and (3) required readings</w:t>
      </w:r>
      <w:r w:rsidR="005F1A7E">
        <w:t xml:space="preserve">. </w:t>
      </w:r>
    </w:p>
    <w:p w14:paraId="405CF507" w14:textId="77777777" w:rsidR="001D0EF0" w:rsidRDefault="001D0EF0" w:rsidP="00C82BDA">
      <w:pPr>
        <w:pStyle w:val="NoSpacing"/>
        <w:numPr>
          <w:ilvl w:val="3"/>
          <w:numId w:val="3"/>
        </w:numPr>
      </w:pPr>
      <w:r>
        <w:t xml:space="preserve">Please note that </w:t>
      </w:r>
      <w:r w:rsidR="005F1A7E">
        <w:t>APA Accreditation requires that UK required courses assigned readings include original scholarly source material, specifically peer-reviewed journal articles.</w:t>
      </w:r>
      <w:r>
        <w:t xml:space="preserve"> Thus, make sure prior courses you are using for a waiver assigned original scholarly source materials as some of the course required readings.</w:t>
      </w:r>
    </w:p>
    <w:p w14:paraId="6BC60DF2" w14:textId="716BA6B4" w:rsidR="001D0EF0" w:rsidRDefault="001D0EF0" w:rsidP="00C82BDA">
      <w:pPr>
        <w:pStyle w:val="NoSpacing"/>
        <w:numPr>
          <w:ilvl w:val="3"/>
          <w:numId w:val="3"/>
        </w:numPr>
      </w:pPr>
      <w:r>
        <w:t>When a prior course syllabus lacks #1, #2, or #3, additional course documentation must be provided that articulates this missing information</w:t>
      </w:r>
      <w:r w:rsidR="00C84123">
        <w:t xml:space="preserve"> (e.g., course reading list, </w:t>
      </w:r>
      <w:r w:rsidR="00F750E0">
        <w:t>assignment instructions)</w:t>
      </w:r>
      <w:r>
        <w:t>.</w:t>
      </w:r>
    </w:p>
    <w:p w14:paraId="5CF31D81" w14:textId="77777777" w:rsidR="00F750E0" w:rsidRDefault="001D0EF0" w:rsidP="00C82BDA">
      <w:pPr>
        <w:pStyle w:val="NoSpacing"/>
        <w:numPr>
          <w:ilvl w:val="3"/>
          <w:numId w:val="3"/>
        </w:numPr>
      </w:pPr>
      <w:r>
        <w:t>When a student’s prior course instructor did not provide a syllabus (this is common in certain countries), the student must obtain or create appropriate written documentation that summarizes #1-3</w:t>
      </w:r>
      <w:r w:rsidR="00C82BDA">
        <w:t xml:space="preserve"> for that course.  </w:t>
      </w:r>
    </w:p>
    <w:p w14:paraId="566A6C66" w14:textId="77777777" w:rsidR="00F750E0" w:rsidRDefault="00C82BDA" w:rsidP="00F750E0">
      <w:pPr>
        <w:pStyle w:val="NoSpacing"/>
        <w:numPr>
          <w:ilvl w:val="4"/>
          <w:numId w:val="3"/>
        </w:numPr>
      </w:pPr>
      <w:r>
        <w:lastRenderedPageBreak/>
        <w:t xml:space="preserve">Obtaining material can sometimes be achieved by contacting past classmates, the past course instructor, or the </w:t>
      </w:r>
      <w:r w:rsidR="00F750E0">
        <w:t>past/current</w:t>
      </w:r>
      <w:r>
        <w:t xml:space="preserve"> </w:t>
      </w:r>
      <w:r w:rsidR="00F750E0">
        <w:t xml:space="preserve">faculty </w:t>
      </w:r>
      <w:r>
        <w:t>program director for that prior department.</w:t>
      </w:r>
      <w:r w:rsidR="001D0EF0">
        <w:t xml:space="preserve"> </w:t>
      </w:r>
    </w:p>
    <w:p w14:paraId="0C300C95" w14:textId="75BFB407" w:rsidR="00937684" w:rsidRDefault="00F750E0" w:rsidP="00F750E0">
      <w:pPr>
        <w:pStyle w:val="NoSpacing"/>
        <w:numPr>
          <w:ilvl w:val="4"/>
          <w:numId w:val="3"/>
        </w:numPr>
      </w:pPr>
      <w:r>
        <w:t xml:space="preserve">When </w:t>
      </w:r>
      <w:r w:rsidRPr="00F750E0">
        <w:rPr>
          <w:i/>
          <w:iCs/>
        </w:rPr>
        <w:t>creating</w:t>
      </w:r>
      <w:r>
        <w:t xml:space="preserve"> documentation, this documentation must be signed off on by an appropriate faculty representative from the prior program (the prior course’s instructor of record, past/current faculty program director).</w:t>
      </w:r>
    </w:p>
    <w:p w14:paraId="1C7ADE6B" w14:textId="347012AF" w:rsidR="00136330" w:rsidRDefault="00C84123" w:rsidP="00136330">
      <w:pPr>
        <w:pStyle w:val="NoSpacing"/>
        <w:numPr>
          <w:ilvl w:val="2"/>
          <w:numId w:val="3"/>
        </w:numPr>
      </w:pPr>
      <w:r>
        <w:t xml:space="preserve">When appropriate written documentation is not available, </w:t>
      </w:r>
      <w:r w:rsidR="00F750E0">
        <w:t>the required UK course cannot be waived.  We are required to have written documentation</w:t>
      </w:r>
      <w:r w:rsidR="00136330">
        <w:t xml:space="preserve">, as having a paper trail is important for maintaining APA accreditation. </w:t>
      </w:r>
      <w:r w:rsidR="004E5572">
        <w:t xml:space="preserve">Furthermore, if </w:t>
      </w:r>
      <w:r w:rsidR="0063538C">
        <w:t xml:space="preserve">a student wishes </w:t>
      </w:r>
      <w:r w:rsidR="004E5572">
        <w:t xml:space="preserve">to get licensed as a psychologist in the USA and many other countries, </w:t>
      </w:r>
      <w:r w:rsidR="0063538C">
        <w:t xml:space="preserve">the student may </w:t>
      </w:r>
      <w:r w:rsidR="005616FD">
        <w:t xml:space="preserve">need to provide copies of syllabi to the state psychology licensing board at the time of application. </w:t>
      </w:r>
      <w:r w:rsidR="00810D43">
        <w:t>See Table 2 below for more.</w:t>
      </w:r>
    </w:p>
    <w:p w14:paraId="07F8F26B" w14:textId="64BA7565" w:rsidR="002801A1" w:rsidRDefault="00136330" w:rsidP="00136330">
      <w:pPr>
        <w:pStyle w:val="NoSpacing"/>
        <w:numPr>
          <w:ilvl w:val="1"/>
          <w:numId w:val="3"/>
        </w:numPr>
      </w:pPr>
      <w:r>
        <w:t xml:space="preserve">If a prior course came close to covering &gt;90% of the topical content, but some key topical content was missing from the prior course, the student may </w:t>
      </w:r>
      <w:r w:rsidR="005B1B81">
        <w:t xml:space="preserve">have the opportunity to do </w:t>
      </w:r>
      <w:r w:rsidR="002801A1">
        <w:t xml:space="preserve">a “bridge the gap” assignment (see below).  However, this suggestion </w:t>
      </w:r>
      <w:r w:rsidR="002801A1" w:rsidRPr="005B1B81">
        <w:rPr>
          <w:i/>
        </w:rPr>
        <w:t>must</w:t>
      </w:r>
      <w:r w:rsidR="002801A1">
        <w:t xml:space="preserve"> come from the instructor of record rather than the </w:t>
      </w:r>
      <w:r w:rsidR="005B1B81">
        <w:t>adviser</w:t>
      </w:r>
      <w:r w:rsidR="002801A1">
        <w:t>, since the instructor of record is the content expert and would be the one evaluating the “bridge the gap” assignment for sufficiency</w:t>
      </w:r>
      <w:r w:rsidR="005B1B81">
        <w:t xml:space="preserve"> (unless the instructor of record delegates this responsibility to the advis</w:t>
      </w:r>
      <w:r w:rsidR="00727947">
        <w:t>or with the advisor’s consent</w:t>
      </w:r>
      <w:r w:rsidR="005B1B81">
        <w:t>)</w:t>
      </w:r>
      <w:r w:rsidR="002801A1">
        <w:t>.</w:t>
      </w:r>
    </w:p>
    <w:p w14:paraId="37CFFCFF" w14:textId="606387E4" w:rsidR="007518FC" w:rsidRDefault="005B1B81" w:rsidP="00D55BB3">
      <w:pPr>
        <w:pStyle w:val="NoSpacing"/>
        <w:numPr>
          <w:ilvl w:val="0"/>
          <w:numId w:val="4"/>
        </w:numPr>
      </w:pPr>
      <w:r w:rsidRPr="005B1B81">
        <w:rPr>
          <w:b/>
          <w:bCs/>
        </w:rPr>
        <w:t>S</w:t>
      </w:r>
      <w:r w:rsidR="000D7DE8" w:rsidRPr="005B1B81">
        <w:rPr>
          <w:b/>
          <w:bCs/>
        </w:rPr>
        <w:t>tudents should present the completed Table</w:t>
      </w:r>
      <w:r w:rsidR="00C81540">
        <w:rPr>
          <w:b/>
          <w:bCs/>
        </w:rPr>
        <w:t>s 1 and 2</w:t>
      </w:r>
      <w:r w:rsidR="000D7DE8" w:rsidRPr="005B1B81">
        <w:rPr>
          <w:b/>
          <w:bCs/>
        </w:rPr>
        <w:t xml:space="preserve"> to their </w:t>
      </w:r>
      <w:r>
        <w:rPr>
          <w:b/>
          <w:bCs/>
        </w:rPr>
        <w:t>faculty advisor</w:t>
      </w:r>
      <w:r w:rsidR="007B13B0">
        <w:t xml:space="preserve"> </w:t>
      </w:r>
      <w:r w:rsidR="007B13B0" w:rsidRPr="007518FC">
        <w:rPr>
          <w:b/>
          <w:bCs/>
        </w:rPr>
        <w:t>along with the copies of the appropriate written documentation</w:t>
      </w:r>
      <w:r w:rsidR="007B13B0">
        <w:t xml:space="preserve">.  </w:t>
      </w:r>
    </w:p>
    <w:p w14:paraId="06F27FE6" w14:textId="18CCC25A" w:rsidR="00C607DC" w:rsidRDefault="00C607DC" w:rsidP="007518FC">
      <w:pPr>
        <w:pStyle w:val="NoSpacing"/>
        <w:numPr>
          <w:ilvl w:val="1"/>
          <w:numId w:val="3"/>
        </w:numPr>
      </w:pPr>
      <w:r>
        <w:t>The documentation file for a given course should be renamed to “Waiver Documentation for EDP XXX” prior to sending it to the advisor.</w:t>
      </w:r>
    </w:p>
    <w:p w14:paraId="2D1B15B9" w14:textId="62333CE6" w:rsidR="000D7DE8" w:rsidRDefault="007518FC" w:rsidP="007518FC">
      <w:pPr>
        <w:pStyle w:val="NoSpacing"/>
        <w:numPr>
          <w:ilvl w:val="1"/>
          <w:numId w:val="3"/>
        </w:numPr>
      </w:pPr>
      <w:r>
        <w:t>When the documentation</w:t>
      </w:r>
      <w:r w:rsidR="00C607DC">
        <w:t xml:space="preserve"> for a given course</w:t>
      </w:r>
      <w:r>
        <w:t xml:space="preserve"> is more than just a</w:t>
      </w:r>
      <w:r w:rsidR="00C607DC">
        <w:t xml:space="preserve"> prior</w:t>
      </w:r>
      <w:r>
        <w:t xml:space="preserve"> syllabus, the d</w:t>
      </w:r>
      <w:r w:rsidR="007B13B0">
        <w:t>ocumentation for a given course should be combined into a single PDF</w:t>
      </w:r>
      <w:r>
        <w:t xml:space="preserve">. The documentation should be easy to read and navigate, and extraneous information can be deleted </w:t>
      </w:r>
      <w:r w:rsidR="00C607DC">
        <w:t>as</w:t>
      </w:r>
      <w:r>
        <w:t xml:space="preserve"> necessary.</w:t>
      </w:r>
    </w:p>
    <w:p w14:paraId="43018730" w14:textId="656122D9" w:rsidR="004C5100" w:rsidRDefault="004C5100" w:rsidP="00D55BB3">
      <w:pPr>
        <w:pStyle w:val="NoSpacing"/>
        <w:numPr>
          <w:ilvl w:val="0"/>
          <w:numId w:val="4"/>
        </w:numPr>
      </w:pPr>
      <w:r w:rsidRPr="00734F1F">
        <w:rPr>
          <w:b/>
          <w:bCs/>
        </w:rPr>
        <w:t>Advisor gives initial impressions</w:t>
      </w:r>
      <w:r>
        <w:t xml:space="preserve"> about what </w:t>
      </w:r>
      <w:r w:rsidR="005B1B81">
        <w:t>prior</w:t>
      </w:r>
      <w:r>
        <w:t xml:space="preserve"> courses </w:t>
      </w:r>
      <w:r>
        <w:rPr>
          <w:i/>
        </w:rPr>
        <w:t>may</w:t>
      </w:r>
      <w:r>
        <w:t xml:space="preserve"> </w:t>
      </w:r>
      <w:r w:rsidR="005B28F8">
        <w:t>be sufficient to justify waivers of required UK courses</w:t>
      </w:r>
      <w:r w:rsidR="000E072F">
        <w:t>.</w:t>
      </w:r>
      <w:r w:rsidR="005B28F8">
        <w:t xml:space="preserve"> Advisor may ask student to make </w:t>
      </w:r>
      <w:r w:rsidR="005B28F8" w:rsidRPr="007518FC">
        <w:rPr>
          <w:b/>
          <w:bCs/>
        </w:rPr>
        <w:t>revisions</w:t>
      </w:r>
      <w:r w:rsidR="005B28F8">
        <w:t xml:space="preserve"> (e.g., revise the Table</w:t>
      </w:r>
      <w:r w:rsidR="00C81540">
        <w:t>s</w:t>
      </w:r>
      <w:r w:rsidR="005B28F8">
        <w:t>, reformat provided prior course documentation, obtain additional documentation).</w:t>
      </w:r>
    </w:p>
    <w:p w14:paraId="3A9589E4" w14:textId="600408B0" w:rsidR="00A20E22" w:rsidRDefault="005B28F8" w:rsidP="00D55BB3">
      <w:pPr>
        <w:pStyle w:val="NoSpacing"/>
        <w:numPr>
          <w:ilvl w:val="0"/>
          <w:numId w:val="4"/>
        </w:numPr>
      </w:pPr>
      <w:r w:rsidRPr="007518FC">
        <w:rPr>
          <w:b/>
          <w:bCs/>
        </w:rPr>
        <w:t xml:space="preserve">For those courses that the advisor </w:t>
      </w:r>
      <w:r w:rsidR="007518FC" w:rsidRPr="007518FC">
        <w:rPr>
          <w:b/>
          <w:bCs/>
        </w:rPr>
        <w:t xml:space="preserve">believes would </w:t>
      </w:r>
      <w:r w:rsidRPr="007518FC">
        <w:rPr>
          <w:b/>
          <w:bCs/>
        </w:rPr>
        <w:t>be eligible for waivers,</w:t>
      </w:r>
      <w:r>
        <w:rPr>
          <w:b/>
          <w:bCs/>
        </w:rPr>
        <w:t xml:space="preserve"> the </w:t>
      </w:r>
      <w:r w:rsidR="006C33E5" w:rsidRPr="008D3FC8">
        <w:rPr>
          <w:b/>
          <w:bCs/>
        </w:rPr>
        <w:t xml:space="preserve">Advisor tells student which UK instructor of record the student should </w:t>
      </w:r>
      <w:r w:rsidR="00A20E22">
        <w:rPr>
          <w:b/>
          <w:bCs/>
        </w:rPr>
        <w:t xml:space="preserve">email </w:t>
      </w:r>
      <w:r w:rsidR="006C33E5">
        <w:t>for each UK course th</w:t>
      </w:r>
      <w:r w:rsidR="00A20E22">
        <w:t xml:space="preserve">e student is seeking to waive. </w:t>
      </w:r>
    </w:p>
    <w:p w14:paraId="6394E874" w14:textId="43194D85" w:rsidR="00A20E22" w:rsidRDefault="00A20E22" w:rsidP="00A20E22">
      <w:pPr>
        <w:pStyle w:val="NoSpacing"/>
        <w:numPr>
          <w:ilvl w:val="1"/>
          <w:numId w:val="3"/>
        </w:numPr>
      </w:pPr>
      <w:r>
        <w:t>If the instructor of record is a faculty member outside of EDP or a part-time instructor (adjunct), the Counseling Psychology Faculty retain discretion about how to proceed.</w:t>
      </w:r>
      <w:r w:rsidR="00E41A38">
        <w:t xml:space="preserve"> The Director of Doctoral Training is always available for consultation on this.</w:t>
      </w:r>
    </w:p>
    <w:p w14:paraId="3CBFB5D7" w14:textId="7321DF90" w:rsidR="00E41A38" w:rsidRDefault="00E41A38" w:rsidP="00A20E22">
      <w:pPr>
        <w:pStyle w:val="NoSpacing"/>
        <w:numPr>
          <w:ilvl w:val="1"/>
          <w:numId w:val="3"/>
        </w:numPr>
      </w:pPr>
      <w:r>
        <w:t>The advisor does not yet sign the Course Waiver Form at this stage.</w:t>
      </w:r>
    </w:p>
    <w:p w14:paraId="5E9909A1" w14:textId="5A4E2307" w:rsidR="00A40896" w:rsidRDefault="006C33E5" w:rsidP="00D55BB3">
      <w:pPr>
        <w:pStyle w:val="NoSpacing"/>
        <w:numPr>
          <w:ilvl w:val="0"/>
          <w:numId w:val="4"/>
        </w:numPr>
      </w:pPr>
      <w:r w:rsidRPr="008D3FC8">
        <w:rPr>
          <w:b/>
          <w:bCs/>
        </w:rPr>
        <w:t xml:space="preserve">Student </w:t>
      </w:r>
      <w:r w:rsidR="00E41A38">
        <w:rPr>
          <w:b/>
          <w:bCs/>
        </w:rPr>
        <w:t>emails</w:t>
      </w:r>
      <w:r w:rsidRPr="008D3FC8">
        <w:rPr>
          <w:b/>
          <w:bCs/>
        </w:rPr>
        <w:t xml:space="preserve"> each </w:t>
      </w:r>
      <w:r w:rsidR="004F589D" w:rsidRPr="008D3FC8">
        <w:rPr>
          <w:b/>
          <w:bCs/>
        </w:rPr>
        <w:t>identified</w:t>
      </w:r>
      <w:r w:rsidRPr="008D3FC8">
        <w:rPr>
          <w:b/>
          <w:bCs/>
        </w:rPr>
        <w:t xml:space="preserve"> UK instructor of record</w:t>
      </w:r>
      <w:r w:rsidR="002D0691">
        <w:t xml:space="preserve">.  </w:t>
      </w:r>
      <w:r w:rsidR="00E41A38">
        <w:t>Here is a sample email template:</w:t>
      </w:r>
    </w:p>
    <w:p w14:paraId="02A29991" w14:textId="60BF03BA" w:rsidR="00E41A38" w:rsidRDefault="00E41A38" w:rsidP="00E41A38">
      <w:pPr>
        <w:pStyle w:val="NoSpacing"/>
        <w:numPr>
          <w:ilvl w:val="1"/>
          <w:numId w:val="3"/>
        </w:numPr>
      </w:pPr>
      <w:r w:rsidRPr="007B13B0">
        <w:rPr>
          <w:i/>
          <w:iCs/>
        </w:rPr>
        <w:t>Subject</w:t>
      </w:r>
      <w:r>
        <w:t xml:space="preserve">: “Course Waiver Request for EDP XXX” </w:t>
      </w:r>
    </w:p>
    <w:p w14:paraId="0A1C4657" w14:textId="36E7DB5C" w:rsidR="00E41A38" w:rsidRDefault="00E41A38" w:rsidP="00E41A38">
      <w:pPr>
        <w:pStyle w:val="NoSpacing"/>
        <w:numPr>
          <w:ilvl w:val="1"/>
          <w:numId w:val="3"/>
        </w:numPr>
      </w:pPr>
      <w:r w:rsidRPr="007B13B0">
        <w:rPr>
          <w:i/>
          <w:iCs/>
        </w:rPr>
        <w:t>Body</w:t>
      </w:r>
      <w:r>
        <w:t xml:space="preserve">: “Hello Dr. X, </w:t>
      </w:r>
      <w:r w:rsidR="00BE47DE">
        <w:t xml:space="preserve">I am a new counseling psychology PhD student. I consulted with (name of faculty advisor) regarding the potential appropriateness of seeking a waiver for EDP XXX. They indicated that you are/were recently an instructor of record for this course and suggested that I provide you with documentation regarding my prior graduate coursework that establishes the grounds for </w:t>
      </w:r>
      <w:r w:rsidR="007B13B0">
        <w:t xml:space="preserve">potentially </w:t>
      </w:r>
      <w:r w:rsidR="00BE47DE">
        <w:t>seeking a waiver of EDP XXX.</w:t>
      </w:r>
      <w:r w:rsidR="007B13B0">
        <w:t xml:space="preserve"> Their initial review of this documentation suggested that my prior coursework may be sufficient to justify a waiver of EDP XXX.</w:t>
      </w:r>
      <w:r w:rsidR="00BE47DE">
        <w:t xml:space="preserve"> If your review of the attached documentation suggests that my prior coursework is roughly equivalent to the topical content of EDP XXX, I would appreciate it if you could add your signature to the Instructor of Record </w:t>
      </w:r>
      <w:r w:rsidR="007B13B0">
        <w:t>signature line at the bottom of the attached Course Waiver Form, at your convenience.  Thank you, Student Name.”</w:t>
      </w:r>
    </w:p>
    <w:p w14:paraId="77D72D9D" w14:textId="2353DA0A" w:rsidR="007B13B0" w:rsidRDefault="007B13B0" w:rsidP="00E41A38">
      <w:pPr>
        <w:pStyle w:val="NoSpacing"/>
        <w:numPr>
          <w:ilvl w:val="1"/>
          <w:numId w:val="3"/>
        </w:numPr>
      </w:pPr>
      <w:r>
        <w:rPr>
          <w:i/>
          <w:iCs/>
        </w:rPr>
        <w:t xml:space="preserve">Be sure to </w:t>
      </w:r>
      <w:r w:rsidR="007518FC">
        <w:rPr>
          <w:i/>
          <w:iCs/>
        </w:rPr>
        <w:t>attach</w:t>
      </w:r>
      <w:r>
        <w:rPr>
          <w:i/>
          <w:iCs/>
        </w:rPr>
        <w:t xml:space="preserve"> the semi-completed Course Waiver Form and the relevant prior coursework documentation.</w:t>
      </w:r>
    </w:p>
    <w:p w14:paraId="0BFA2C4E" w14:textId="5CB09C2C" w:rsidR="00A40896" w:rsidRDefault="00A40896" w:rsidP="00D55BB3">
      <w:pPr>
        <w:pStyle w:val="NoSpacing"/>
        <w:numPr>
          <w:ilvl w:val="0"/>
          <w:numId w:val="4"/>
        </w:numPr>
      </w:pPr>
      <w:r w:rsidRPr="008D3FC8">
        <w:rPr>
          <w:b/>
          <w:bCs/>
        </w:rPr>
        <w:lastRenderedPageBreak/>
        <w:t xml:space="preserve">Instructor of record </w:t>
      </w:r>
      <w:r w:rsidR="008D3FC8">
        <w:rPr>
          <w:b/>
          <w:bCs/>
        </w:rPr>
        <w:t>gives opinion</w:t>
      </w:r>
      <w:r>
        <w:t xml:space="preserve"> regarding whether </w:t>
      </w:r>
      <w:r w:rsidR="00C607DC">
        <w:t>prior</w:t>
      </w:r>
      <w:r>
        <w:t xml:space="preserve"> course is equivalent to the UK course. Instructor of record may respond in</w:t>
      </w:r>
      <w:r w:rsidR="000E072F">
        <w:t xml:space="preserve"> one of three</w:t>
      </w:r>
      <w:r>
        <w:t xml:space="preserve"> ways: </w:t>
      </w:r>
    </w:p>
    <w:p w14:paraId="2EF8AC64" w14:textId="56251425" w:rsidR="00A40896" w:rsidRDefault="00A40896" w:rsidP="00C82BDA">
      <w:pPr>
        <w:pStyle w:val="NoSpacing"/>
        <w:numPr>
          <w:ilvl w:val="1"/>
          <w:numId w:val="3"/>
        </w:numPr>
      </w:pPr>
      <w:r>
        <w:t>No,</w:t>
      </w:r>
      <w:r w:rsidR="00DE6512">
        <w:t xml:space="preserve"> it is not equivalent,</w:t>
      </w:r>
      <w:r>
        <w:t xml:space="preserve"> </w:t>
      </w:r>
      <w:r w:rsidR="000E072F">
        <w:t>student</w:t>
      </w:r>
      <w:r>
        <w:t xml:space="preserve"> must take the UK course</w:t>
      </w:r>
      <w:r w:rsidR="000D6386">
        <w:t>.</w:t>
      </w:r>
      <w:r w:rsidR="00C607DC">
        <w:t xml:space="preserve"> </w:t>
      </w:r>
    </w:p>
    <w:p w14:paraId="2A6728EA" w14:textId="18C971FA" w:rsidR="007E0AA1" w:rsidRDefault="007E0AA1" w:rsidP="00C82BDA">
      <w:pPr>
        <w:pStyle w:val="NoSpacing"/>
        <w:numPr>
          <w:ilvl w:val="1"/>
          <w:numId w:val="3"/>
        </w:numPr>
      </w:pPr>
      <w:r>
        <w:t xml:space="preserve">Yes, it is equivalent, </w:t>
      </w:r>
      <w:r w:rsidR="00DE6512">
        <w:t>so</w:t>
      </w:r>
      <w:r>
        <w:t xml:space="preserve"> </w:t>
      </w:r>
      <w:r w:rsidR="000E072F">
        <w:t>student</w:t>
      </w:r>
      <w:r>
        <w:t xml:space="preserve"> can waive the UK course</w:t>
      </w:r>
      <w:r w:rsidR="000D6386">
        <w:t>.</w:t>
      </w:r>
      <w:r w:rsidR="00C607DC">
        <w:t xml:space="preserve"> In this case, the instructor of record should sign the form and send it back to the student.</w:t>
      </w:r>
    </w:p>
    <w:p w14:paraId="3CC9E183" w14:textId="32EFD268" w:rsidR="00A40896" w:rsidRDefault="00A40896" w:rsidP="00C82BDA">
      <w:pPr>
        <w:pStyle w:val="NoSpacing"/>
        <w:numPr>
          <w:ilvl w:val="1"/>
          <w:numId w:val="3"/>
        </w:numPr>
      </w:pPr>
      <w:r>
        <w:t>No</w:t>
      </w:r>
      <w:r w:rsidR="000D6386">
        <w:t>,</w:t>
      </w:r>
      <w:r w:rsidR="007E0AA1">
        <w:t xml:space="preserve"> it’s not equivalent</w:t>
      </w:r>
      <w:r>
        <w:t xml:space="preserve">, but here is how </w:t>
      </w:r>
      <w:r w:rsidR="009B0AE8">
        <w:t>the student</w:t>
      </w:r>
      <w:r>
        <w:t xml:space="preserve"> could “bridge the gap” by </w:t>
      </w:r>
      <w:r w:rsidR="001A7232">
        <w:t>completing this</w:t>
      </w:r>
      <w:r w:rsidR="000D6386">
        <w:t xml:space="preserve"> assignment (e.g., test, paper, project)</w:t>
      </w:r>
      <w:r w:rsidR="001A7232">
        <w:t xml:space="preserve"> that, if completed satisfactorily, will demonstrate that </w:t>
      </w:r>
      <w:r w:rsidR="009B0AE8">
        <w:t>the student has</w:t>
      </w:r>
      <w:r w:rsidR="001A7232">
        <w:t xml:space="preserve"> gained competence in all relevant knowledge/skill covered by the UK course, and thus can </w:t>
      </w:r>
      <w:r w:rsidR="00F82E98">
        <w:t>have the UK course waived</w:t>
      </w:r>
      <w:r w:rsidR="004F589D">
        <w:t>.</w:t>
      </w:r>
    </w:p>
    <w:p w14:paraId="2A1C1061" w14:textId="235EAD01" w:rsidR="009B0AE8" w:rsidRDefault="00676837" w:rsidP="00C82BDA">
      <w:pPr>
        <w:pStyle w:val="NoSpacing"/>
        <w:numPr>
          <w:ilvl w:val="2"/>
          <w:numId w:val="3"/>
        </w:numPr>
      </w:pPr>
      <w:r>
        <w:t xml:space="preserve">If it’s a “bridge the gap” situation, the instructor of record </w:t>
      </w:r>
      <w:r w:rsidR="000D6386">
        <w:t>will need</w:t>
      </w:r>
      <w:r>
        <w:t xml:space="preserve"> to articulate </w:t>
      </w:r>
      <w:r w:rsidR="009B0AE8">
        <w:rPr>
          <w:b/>
        </w:rPr>
        <w:t>what</w:t>
      </w:r>
      <w:r>
        <w:t xml:space="preserve"> is missing</w:t>
      </w:r>
      <w:r w:rsidR="000D6386">
        <w:t xml:space="preserve"> and </w:t>
      </w:r>
      <w:r w:rsidR="009B0AE8">
        <w:rPr>
          <w:b/>
        </w:rPr>
        <w:t>how</w:t>
      </w:r>
      <w:r>
        <w:t xml:space="preserve"> the gap could be filled through a supplemental assignmen</w:t>
      </w:r>
      <w:r w:rsidR="009B0AE8">
        <w:t xml:space="preserve">t.  The instructor of record must also be willing to </w:t>
      </w:r>
      <w:r w:rsidR="009B0AE8" w:rsidRPr="009B0AE8">
        <w:rPr>
          <w:b/>
        </w:rPr>
        <w:t>evaluate</w:t>
      </w:r>
      <w:r w:rsidR="009B0AE8">
        <w:t xml:space="preserve"> the assignment (deem it satisfactory vs. unsatisfactory</w:t>
      </w:r>
      <w:proofErr w:type="gramStart"/>
      <w:r w:rsidR="009B0AE8">
        <w:t>)</w:t>
      </w:r>
      <w:r w:rsidR="00727947">
        <w:t>, unless</w:t>
      </w:r>
      <w:proofErr w:type="gramEnd"/>
      <w:r w:rsidR="00727947">
        <w:t xml:space="preserve"> they delegate this to the advisor with the advisor’s consent</w:t>
      </w:r>
      <w:r w:rsidR="009B0AE8">
        <w:t xml:space="preserve">.  The instructor of record is under no obligation to offer the “bridge the gap” option; this is completely </w:t>
      </w:r>
      <w:r w:rsidR="004F589D">
        <w:t>at</w:t>
      </w:r>
      <w:r w:rsidR="009B0AE8">
        <w:t xml:space="preserve"> their discretion</w:t>
      </w:r>
      <w:r w:rsidR="000E072F">
        <w:t xml:space="preserve">, given the </w:t>
      </w:r>
      <w:r w:rsidR="00727947">
        <w:t>extra burden</w:t>
      </w:r>
      <w:r w:rsidR="000E072F">
        <w:t xml:space="preserve"> </w:t>
      </w:r>
      <w:proofErr w:type="gramStart"/>
      <w:r w:rsidR="000E072F">
        <w:t>this places</w:t>
      </w:r>
      <w:proofErr w:type="gramEnd"/>
      <w:r w:rsidR="000E072F">
        <w:t xml:space="preserve"> on </w:t>
      </w:r>
      <w:r w:rsidR="00727947">
        <w:t>the</w:t>
      </w:r>
      <w:r w:rsidR="000E072F">
        <w:t xml:space="preserve"> faculty member.</w:t>
      </w:r>
    </w:p>
    <w:p w14:paraId="25442C8A" w14:textId="162DC43D" w:rsidR="006C491F" w:rsidRDefault="006C491F" w:rsidP="00C82BDA">
      <w:pPr>
        <w:pStyle w:val="NoSpacing"/>
        <w:numPr>
          <w:ilvl w:val="2"/>
          <w:numId w:val="3"/>
        </w:numPr>
      </w:pPr>
      <w:r>
        <w:t xml:space="preserve">Once the student has </w:t>
      </w:r>
      <w:r w:rsidR="000E072F">
        <w:t>submitted the supplemental assignment that is deemed satisfactory</w:t>
      </w:r>
      <w:r>
        <w:t xml:space="preserve">, only then should the instructor of record sign the </w:t>
      </w:r>
      <w:r w:rsidR="00BC69C4">
        <w:t>Course Waiver Form for that course</w:t>
      </w:r>
      <w:r w:rsidR="000E072F">
        <w:t xml:space="preserve">.  </w:t>
      </w:r>
    </w:p>
    <w:p w14:paraId="66F47B82" w14:textId="4C209B74" w:rsidR="000E072F" w:rsidRDefault="000E072F" w:rsidP="00D55BB3">
      <w:pPr>
        <w:pStyle w:val="NoSpacing"/>
        <w:numPr>
          <w:ilvl w:val="0"/>
          <w:numId w:val="4"/>
        </w:numPr>
      </w:pPr>
      <w:r>
        <w:t>If the instructor of record has signed the Course Waiver Form and the faculty adviser also agrees that the old course is equivalent to the UK course, then the faculty advisor can also sign the Course Waiver Form.</w:t>
      </w:r>
    </w:p>
    <w:p w14:paraId="4E376D86" w14:textId="7951415B" w:rsidR="007E0AA1" w:rsidRDefault="00BC69C4" w:rsidP="00D55BB3">
      <w:pPr>
        <w:pStyle w:val="NoSpacing"/>
        <w:numPr>
          <w:ilvl w:val="0"/>
          <w:numId w:val="4"/>
        </w:numPr>
      </w:pPr>
      <w:r>
        <w:t>All d</w:t>
      </w:r>
      <w:r w:rsidR="00130DA6">
        <w:t>oubl</w:t>
      </w:r>
      <w:r w:rsidR="00727947">
        <w:t>e</w:t>
      </w:r>
      <w:r w:rsidR="00130DA6">
        <w:t xml:space="preserve">-signed </w:t>
      </w:r>
      <w:r>
        <w:t>Course Waiver Forms</w:t>
      </w:r>
      <w:r w:rsidR="00130DA6">
        <w:t xml:space="preserve"> should be placed in the student’s permanent </w:t>
      </w:r>
      <w:r>
        <w:t>SharePoint</w:t>
      </w:r>
      <w:r w:rsidR="00130DA6">
        <w:t xml:space="preserve"> file</w:t>
      </w:r>
      <w:r w:rsidR="00727947">
        <w:t xml:space="preserve"> by the advisor.</w:t>
      </w:r>
    </w:p>
    <w:p w14:paraId="34C38E19" w14:textId="3D452763" w:rsidR="00BC69C4" w:rsidRDefault="00BC69C4" w:rsidP="00D55BB3">
      <w:pPr>
        <w:pStyle w:val="NoSpacing"/>
        <w:numPr>
          <w:ilvl w:val="0"/>
          <w:numId w:val="4"/>
        </w:numPr>
      </w:pPr>
      <w:r>
        <w:t>The student’s Program of Study should be updated to reflect all waivers.</w:t>
      </w:r>
    </w:p>
    <w:p w14:paraId="2104C706" w14:textId="4F5404A6" w:rsidR="00727947" w:rsidRDefault="00727947" w:rsidP="00727947">
      <w:pPr>
        <w:pStyle w:val="NoSpacing"/>
      </w:pPr>
    </w:p>
    <w:p w14:paraId="65433B7B" w14:textId="575E33B3" w:rsidR="00727947" w:rsidRPr="00044FF4" w:rsidRDefault="00727947" w:rsidP="00727947">
      <w:pPr>
        <w:pStyle w:val="NoSpacing"/>
        <w:rPr>
          <w:b/>
          <w:bCs/>
        </w:rPr>
      </w:pPr>
      <w:r w:rsidRPr="00044FF4">
        <w:rPr>
          <w:b/>
          <w:bCs/>
        </w:rPr>
        <w:t>Checklist of Course Waiver Steps:</w:t>
      </w:r>
    </w:p>
    <w:tbl>
      <w:tblPr>
        <w:tblStyle w:val="TableGrid"/>
        <w:tblW w:w="0" w:type="auto"/>
        <w:tblLook w:val="04A0" w:firstRow="1" w:lastRow="0" w:firstColumn="1" w:lastColumn="0" w:noHBand="0" w:noVBand="1"/>
      </w:tblPr>
      <w:tblGrid>
        <w:gridCol w:w="535"/>
        <w:gridCol w:w="13500"/>
      </w:tblGrid>
      <w:tr w:rsidR="00727947" w14:paraId="6F473170" w14:textId="77777777" w:rsidTr="00742344">
        <w:trPr>
          <w:trHeight w:val="274"/>
        </w:trPr>
        <w:tc>
          <w:tcPr>
            <w:tcW w:w="535" w:type="dxa"/>
          </w:tcPr>
          <w:p w14:paraId="693B5085" w14:textId="77777777" w:rsidR="00727947" w:rsidRDefault="00727947" w:rsidP="00727947">
            <w:pPr>
              <w:pStyle w:val="NoSpacing"/>
            </w:pPr>
          </w:p>
        </w:tc>
        <w:tc>
          <w:tcPr>
            <w:tcW w:w="13500" w:type="dxa"/>
          </w:tcPr>
          <w:p w14:paraId="238CE558" w14:textId="7716EA8E" w:rsidR="00727947" w:rsidRDefault="001F2FFB" w:rsidP="00727947">
            <w:pPr>
              <w:pStyle w:val="NoSpacing"/>
            </w:pPr>
            <w:r>
              <w:t>Student reviews UK syllabi for potential equivalence to prior courses</w:t>
            </w:r>
          </w:p>
        </w:tc>
      </w:tr>
      <w:tr w:rsidR="00727947" w14:paraId="38DFD02B" w14:textId="77777777" w:rsidTr="00742344">
        <w:trPr>
          <w:trHeight w:val="274"/>
        </w:trPr>
        <w:tc>
          <w:tcPr>
            <w:tcW w:w="535" w:type="dxa"/>
          </w:tcPr>
          <w:p w14:paraId="1940990A" w14:textId="77777777" w:rsidR="00727947" w:rsidRDefault="00727947" w:rsidP="00727947">
            <w:pPr>
              <w:pStyle w:val="NoSpacing"/>
            </w:pPr>
          </w:p>
        </w:tc>
        <w:tc>
          <w:tcPr>
            <w:tcW w:w="13500" w:type="dxa"/>
          </w:tcPr>
          <w:p w14:paraId="5E3BD824" w14:textId="381590DC" w:rsidR="00727947" w:rsidRDefault="001F2FFB" w:rsidP="00727947">
            <w:pPr>
              <w:pStyle w:val="NoSpacing"/>
            </w:pPr>
            <w:r>
              <w:t>Student provides completed Table</w:t>
            </w:r>
            <w:r w:rsidR="00C81540">
              <w:t>s 1 and 2</w:t>
            </w:r>
            <w:r>
              <w:t xml:space="preserve"> and prior course documentation to advisor</w:t>
            </w:r>
          </w:p>
        </w:tc>
      </w:tr>
      <w:tr w:rsidR="00727947" w14:paraId="5899FAAC" w14:textId="77777777" w:rsidTr="00742344">
        <w:trPr>
          <w:trHeight w:val="274"/>
        </w:trPr>
        <w:tc>
          <w:tcPr>
            <w:tcW w:w="535" w:type="dxa"/>
          </w:tcPr>
          <w:p w14:paraId="7D41DB75" w14:textId="77777777" w:rsidR="00727947" w:rsidRDefault="00727947" w:rsidP="00727947">
            <w:pPr>
              <w:pStyle w:val="NoSpacing"/>
            </w:pPr>
          </w:p>
        </w:tc>
        <w:tc>
          <w:tcPr>
            <w:tcW w:w="13500" w:type="dxa"/>
          </w:tcPr>
          <w:p w14:paraId="628D0F8A" w14:textId="0B0116CE" w:rsidR="00727947" w:rsidRDefault="001F2FFB" w:rsidP="00727947">
            <w:pPr>
              <w:pStyle w:val="NoSpacing"/>
            </w:pPr>
            <w:r>
              <w:t xml:space="preserve">Advisor gives initial impression about potentially waivable UK courses and identifies UK instructors of record for student to </w:t>
            </w:r>
            <w:r w:rsidR="00742344">
              <w:t>email</w:t>
            </w:r>
          </w:p>
        </w:tc>
      </w:tr>
      <w:tr w:rsidR="00727947" w14:paraId="574B69A7" w14:textId="77777777" w:rsidTr="00742344">
        <w:trPr>
          <w:trHeight w:val="274"/>
        </w:trPr>
        <w:tc>
          <w:tcPr>
            <w:tcW w:w="535" w:type="dxa"/>
          </w:tcPr>
          <w:p w14:paraId="263274A6" w14:textId="77777777" w:rsidR="00727947" w:rsidRDefault="00727947" w:rsidP="00727947">
            <w:pPr>
              <w:pStyle w:val="NoSpacing"/>
            </w:pPr>
          </w:p>
        </w:tc>
        <w:tc>
          <w:tcPr>
            <w:tcW w:w="13500" w:type="dxa"/>
          </w:tcPr>
          <w:p w14:paraId="78B1C7D0" w14:textId="7BDE95E4" w:rsidR="00727947" w:rsidRDefault="001F2FFB" w:rsidP="00727947">
            <w:pPr>
              <w:pStyle w:val="NoSpacing"/>
            </w:pPr>
            <w:r>
              <w:t>Students emails each identified UK instructor of record using template email</w:t>
            </w:r>
          </w:p>
        </w:tc>
      </w:tr>
      <w:tr w:rsidR="00727947" w14:paraId="51D0D9F2" w14:textId="77777777" w:rsidTr="00742344">
        <w:trPr>
          <w:trHeight w:val="274"/>
        </w:trPr>
        <w:tc>
          <w:tcPr>
            <w:tcW w:w="535" w:type="dxa"/>
          </w:tcPr>
          <w:p w14:paraId="03210583" w14:textId="77777777" w:rsidR="00727947" w:rsidRDefault="00727947" w:rsidP="00727947">
            <w:pPr>
              <w:pStyle w:val="NoSpacing"/>
            </w:pPr>
          </w:p>
        </w:tc>
        <w:tc>
          <w:tcPr>
            <w:tcW w:w="13500" w:type="dxa"/>
          </w:tcPr>
          <w:p w14:paraId="24DD1DE6" w14:textId="55151E93" w:rsidR="00727947" w:rsidRDefault="001F2FFB" w:rsidP="00727947">
            <w:pPr>
              <w:pStyle w:val="NoSpacing"/>
            </w:pPr>
            <w:r>
              <w:t>St</w:t>
            </w:r>
            <w:r w:rsidR="00742344">
              <w:t>udent hears back from each instructor of record regarding waiver decision</w:t>
            </w:r>
          </w:p>
        </w:tc>
      </w:tr>
      <w:tr w:rsidR="00727947" w14:paraId="01C682CB" w14:textId="77777777" w:rsidTr="00742344">
        <w:trPr>
          <w:trHeight w:val="274"/>
        </w:trPr>
        <w:tc>
          <w:tcPr>
            <w:tcW w:w="535" w:type="dxa"/>
          </w:tcPr>
          <w:p w14:paraId="5445FE24" w14:textId="77777777" w:rsidR="00727947" w:rsidRDefault="00727947" w:rsidP="00727947">
            <w:pPr>
              <w:pStyle w:val="NoSpacing"/>
            </w:pPr>
          </w:p>
        </w:tc>
        <w:tc>
          <w:tcPr>
            <w:tcW w:w="13500" w:type="dxa"/>
          </w:tcPr>
          <w:p w14:paraId="1C339421" w14:textId="15822C6E" w:rsidR="00727947" w:rsidRDefault="00742344" w:rsidP="00727947">
            <w:pPr>
              <w:pStyle w:val="NoSpacing"/>
            </w:pPr>
            <w:r>
              <w:t>When appropriate, instructor of record and advisor both sign course waivers</w:t>
            </w:r>
          </w:p>
        </w:tc>
      </w:tr>
      <w:tr w:rsidR="00727947" w14:paraId="3D493E76" w14:textId="77777777" w:rsidTr="00742344">
        <w:trPr>
          <w:trHeight w:val="274"/>
        </w:trPr>
        <w:tc>
          <w:tcPr>
            <w:tcW w:w="535" w:type="dxa"/>
          </w:tcPr>
          <w:p w14:paraId="37946031" w14:textId="77777777" w:rsidR="00727947" w:rsidRDefault="00727947" w:rsidP="00727947">
            <w:pPr>
              <w:pStyle w:val="NoSpacing"/>
            </w:pPr>
          </w:p>
        </w:tc>
        <w:tc>
          <w:tcPr>
            <w:tcW w:w="13500" w:type="dxa"/>
          </w:tcPr>
          <w:p w14:paraId="523B055A" w14:textId="2C31D04F" w:rsidR="00727947" w:rsidRDefault="00742344" w:rsidP="00727947">
            <w:pPr>
              <w:pStyle w:val="NoSpacing"/>
            </w:pPr>
            <w:r>
              <w:t>Double signed course waivers are placed in student’s SharePoint file by advisor.</w:t>
            </w:r>
          </w:p>
        </w:tc>
      </w:tr>
      <w:tr w:rsidR="00742344" w14:paraId="6C14DED9" w14:textId="77777777" w:rsidTr="00742344">
        <w:trPr>
          <w:trHeight w:val="274"/>
        </w:trPr>
        <w:tc>
          <w:tcPr>
            <w:tcW w:w="535" w:type="dxa"/>
          </w:tcPr>
          <w:p w14:paraId="5F4F9EB6" w14:textId="77777777" w:rsidR="00742344" w:rsidRDefault="00742344" w:rsidP="00727947">
            <w:pPr>
              <w:pStyle w:val="NoSpacing"/>
            </w:pPr>
          </w:p>
        </w:tc>
        <w:tc>
          <w:tcPr>
            <w:tcW w:w="13500" w:type="dxa"/>
          </w:tcPr>
          <w:p w14:paraId="0C8882F6" w14:textId="40CC9B0D" w:rsidR="00742344" w:rsidRDefault="00742344" w:rsidP="00727947">
            <w:pPr>
              <w:pStyle w:val="NoSpacing"/>
            </w:pPr>
            <w:r>
              <w:t>Student updates their Program of Study to reflect approved waivers</w:t>
            </w:r>
          </w:p>
        </w:tc>
      </w:tr>
    </w:tbl>
    <w:p w14:paraId="53F25090" w14:textId="77777777" w:rsidR="00727947" w:rsidRDefault="00727947" w:rsidP="00727947">
      <w:pPr>
        <w:pStyle w:val="NoSpacing"/>
      </w:pPr>
    </w:p>
    <w:p w14:paraId="708735BE" w14:textId="2BD01095" w:rsidR="00753004" w:rsidRDefault="00753004">
      <w:pPr>
        <w:spacing w:after="160" w:line="259" w:lineRule="auto"/>
      </w:pPr>
      <w:r>
        <w:br w:type="page"/>
      </w:r>
    </w:p>
    <w:p w14:paraId="6818FFD7" w14:textId="77777777" w:rsidR="000D7DE8" w:rsidRDefault="000D7DE8" w:rsidP="000D7DE8">
      <w:pPr>
        <w:pStyle w:val="NoSpacing"/>
      </w:pPr>
    </w:p>
    <w:p w14:paraId="25663C77" w14:textId="469F28DB" w:rsidR="000D7DE8" w:rsidRDefault="000D7DE8" w:rsidP="000D7DE8">
      <w:pPr>
        <w:pStyle w:val="NoSpacing"/>
      </w:pPr>
      <w:r w:rsidRPr="00753004">
        <w:rPr>
          <w:b/>
          <w:bCs/>
        </w:rPr>
        <w:t>Table</w:t>
      </w:r>
      <w:r>
        <w:t xml:space="preserve"> </w:t>
      </w:r>
      <w:r w:rsidRPr="00E145DE">
        <w:rPr>
          <w:b/>
          <w:bCs/>
        </w:rPr>
        <w:t>1</w:t>
      </w:r>
    </w:p>
    <w:tbl>
      <w:tblPr>
        <w:tblStyle w:val="TableGrid"/>
        <w:tblW w:w="0" w:type="auto"/>
        <w:tblLook w:val="04A0" w:firstRow="1" w:lastRow="0" w:firstColumn="1" w:lastColumn="0" w:noHBand="0" w:noVBand="1"/>
      </w:tblPr>
      <w:tblGrid>
        <w:gridCol w:w="1407"/>
        <w:gridCol w:w="2463"/>
        <w:gridCol w:w="1176"/>
        <w:gridCol w:w="2774"/>
        <w:gridCol w:w="1593"/>
        <w:gridCol w:w="2301"/>
        <w:gridCol w:w="2676"/>
      </w:tblGrid>
      <w:tr w:rsidR="00F3662B" w14:paraId="752AC6F3" w14:textId="7F6ACAA8" w:rsidTr="007A3023">
        <w:tc>
          <w:tcPr>
            <w:tcW w:w="1407" w:type="dxa"/>
          </w:tcPr>
          <w:p w14:paraId="718E9EF7" w14:textId="397DDB70" w:rsidR="00F3662B" w:rsidRDefault="00F3662B" w:rsidP="000D7DE8">
            <w:pPr>
              <w:pStyle w:val="NoSpacing"/>
            </w:pPr>
            <w:r>
              <w:t>UK Course #</w:t>
            </w:r>
          </w:p>
        </w:tc>
        <w:tc>
          <w:tcPr>
            <w:tcW w:w="2463" w:type="dxa"/>
          </w:tcPr>
          <w:p w14:paraId="077566B7" w14:textId="211AA54C" w:rsidR="00F3662B" w:rsidRDefault="00F3662B" w:rsidP="000D7DE8">
            <w:pPr>
              <w:pStyle w:val="NoSpacing"/>
            </w:pPr>
            <w:r>
              <w:t>UK Course Name</w:t>
            </w:r>
          </w:p>
        </w:tc>
        <w:tc>
          <w:tcPr>
            <w:tcW w:w="1176" w:type="dxa"/>
          </w:tcPr>
          <w:p w14:paraId="3DF22D0F" w14:textId="667CA5AF" w:rsidR="00F3662B" w:rsidRDefault="00F3662B" w:rsidP="000D7DE8">
            <w:pPr>
              <w:pStyle w:val="NoSpacing"/>
            </w:pPr>
            <w:r>
              <w:t>Prior Graduate-Level Course(s) #</w:t>
            </w:r>
          </w:p>
        </w:tc>
        <w:tc>
          <w:tcPr>
            <w:tcW w:w="2774" w:type="dxa"/>
          </w:tcPr>
          <w:p w14:paraId="0EB7633B" w14:textId="6FDB6DC9" w:rsidR="00F3662B" w:rsidRDefault="00F3662B" w:rsidP="000D7DE8">
            <w:pPr>
              <w:pStyle w:val="NoSpacing"/>
            </w:pPr>
            <w:r>
              <w:t>Prior Graduate-Level Course(s) Name</w:t>
            </w:r>
          </w:p>
        </w:tc>
        <w:tc>
          <w:tcPr>
            <w:tcW w:w="1593" w:type="dxa"/>
          </w:tcPr>
          <w:p w14:paraId="2C668C8D" w14:textId="34F830DD" w:rsidR="00F3662B" w:rsidRDefault="00F3662B" w:rsidP="000D7DE8">
            <w:pPr>
              <w:pStyle w:val="NoSpacing"/>
            </w:pPr>
            <w:r>
              <w:t>Does the prior course(s) cover &gt;90% of the topical content as the UK course? (No/Yes)</w:t>
            </w:r>
          </w:p>
        </w:tc>
        <w:tc>
          <w:tcPr>
            <w:tcW w:w="2301" w:type="dxa"/>
          </w:tcPr>
          <w:p w14:paraId="6AD5BF75" w14:textId="184F5727" w:rsidR="00F3662B" w:rsidRDefault="00F3662B" w:rsidP="000D7DE8">
            <w:pPr>
              <w:pStyle w:val="NoSpacing"/>
            </w:pPr>
            <w:r>
              <w:t>What topical content in the UK Course was not covered by the prior course?</w:t>
            </w:r>
          </w:p>
        </w:tc>
        <w:tc>
          <w:tcPr>
            <w:tcW w:w="2676" w:type="dxa"/>
          </w:tcPr>
          <w:p w14:paraId="3EED7F59" w14:textId="2DBDD366" w:rsidR="00F3662B" w:rsidRDefault="007A3023" w:rsidP="000D7DE8">
            <w:pPr>
              <w:pStyle w:val="NoSpacing"/>
            </w:pPr>
            <w:r>
              <w:t xml:space="preserve">Can you provide </w:t>
            </w:r>
            <w:r w:rsidR="00E145DE">
              <w:t xml:space="preserve">appropriate written documentation for prior course that summarizes </w:t>
            </w:r>
            <w:r w:rsidR="00E145DE" w:rsidRPr="00E145DE">
              <w:t>the (1) topics covered during each weekly course seminar, (2) descriptions of required assignments/assessments, and (3) required readings</w:t>
            </w:r>
            <w:r w:rsidR="00E145DE">
              <w:t>?</w:t>
            </w:r>
          </w:p>
        </w:tc>
      </w:tr>
      <w:tr w:rsidR="007A3023" w14:paraId="0F427EF9" w14:textId="383B5DF6" w:rsidTr="007A3023">
        <w:tc>
          <w:tcPr>
            <w:tcW w:w="1407" w:type="dxa"/>
          </w:tcPr>
          <w:p w14:paraId="051F4E4B" w14:textId="4942F0CE" w:rsidR="007A3023" w:rsidRPr="007A3023" w:rsidRDefault="007A3023" w:rsidP="007A3023">
            <w:pPr>
              <w:pStyle w:val="NoSpacing"/>
              <w:rPr>
                <w:color w:val="A6A6A6" w:themeColor="background1" w:themeShade="A6"/>
              </w:rPr>
            </w:pPr>
            <w:r w:rsidRPr="007A3023">
              <w:rPr>
                <w:color w:val="A6A6A6" w:themeColor="background1" w:themeShade="A6"/>
              </w:rPr>
              <w:t>EDP 513</w:t>
            </w:r>
          </w:p>
        </w:tc>
        <w:tc>
          <w:tcPr>
            <w:tcW w:w="2463" w:type="dxa"/>
          </w:tcPr>
          <w:p w14:paraId="1D0B4A05" w14:textId="12262E41" w:rsidR="007A3023" w:rsidRPr="007A3023" w:rsidRDefault="007A3023" w:rsidP="007A3023">
            <w:pPr>
              <w:pStyle w:val="NoSpacing"/>
              <w:rPr>
                <w:color w:val="A6A6A6" w:themeColor="background1" w:themeShade="A6"/>
              </w:rPr>
            </w:pPr>
            <w:r w:rsidRPr="007A3023">
              <w:rPr>
                <w:color w:val="A6A6A6" w:themeColor="background1" w:themeShade="A6"/>
              </w:rPr>
              <w:t>Social Psychological Issues in Education</w:t>
            </w:r>
          </w:p>
        </w:tc>
        <w:tc>
          <w:tcPr>
            <w:tcW w:w="1176" w:type="dxa"/>
          </w:tcPr>
          <w:p w14:paraId="55237330" w14:textId="5DC5B457" w:rsidR="007A3023" w:rsidRPr="007A3023" w:rsidRDefault="007A3023" w:rsidP="007A3023">
            <w:pPr>
              <w:pStyle w:val="NoSpacing"/>
              <w:rPr>
                <w:color w:val="A6A6A6" w:themeColor="background1" w:themeShade="A6"/>
              </w:rPr>
            </w:pPr>
            <w:r w:rsidRPr="007A3023">
              <w:rPr>
                <w:color w:val="A6A6A6" w:themeColor="background1" w:themeShade="A6"/>
              </w:rPr>
              <w:t>PSY 600</w:t>
            </w:r>
          </w:p>
        </w:tc>
        <w:tc>
          <w:tcPr>
            <w:tcW w:w="2774" w:type="dxa"/>
          </w:tcPr>
          <w:p w14:paraId="4C06DC51" w14:textId="04A464D2" w:rsidR="007A3023" w:rsidRPr="007A3023" w:rsidRDefault="007A3023" w:rsidP="007A3023">
            <w:pPr>
              <w:pStyle w:val="NoSpacing"/>
              <w:rPr>
                <w:color w:val="A6A6A6" w:themeColor="background1" w:themeShade="A6"/>
              </w:rPr>
            </w:pPr>
            <w:r w:rsidRPr="007A3023">
              <w:rPr>
                <w:color w:val="A6A6A6" w:themeColor="background1" w:themeShade="A6"/>
              </w:rPr>
              <w:t>Social Psychology</w:t>
            </w:r>
          </w:p>
        </w:tc>
        <w:tc>
          <w:tcPr>
            <w:tcW w:w="1593" w:type="dxa"/>
          </w:tcPr>
          <w:p w14:paraId="3E3EEE23" w14:textId="67F3CB79" w:rsidR="007A3023" w:rsidRPr="007A3023" w:rsidRDefault="007A3023" w:rsidP="007A3023">
            <w:pPr>
              <w:pStyle w:val="NoSpacing"/>
              <w:rPr>
                <w:color w:val="A6A6A6" w:themeColor="background1" w:themeShade="A6"/>
              </w:rPr>
            </w:pPr>
            <w:r w:rsidRPr="007A3023">
              <w:rPr>
                <w:color w:val="A6A6A6" w:themeColor="background1" w:themeShade="A6"/>
              </w:rPr>
              <w:t>Yes</w:t>
            </w:r>
          </w:p>
        </w:tc>
        <w:tc>
          <w:tcPr>
            <w:tcW w:w="2301" w:type="dxa"/>
          </w:tcPr>
          <w:p w14:paraId="2AC478DA" w14:textId="5BA5876B" w:rsidR="007A3023" w:rsidRPr="007A3023" w:rsidRDefault="007A3023" w:rsidP="007A3023">
            <w:pPr>
              <w:pStyle w:val="NoSpacing"/>
              <w:rPr>
                <w:color w:val="A6A6A6" w:themeColor="background1" w:themeShade="A6"/>
              </w:rPr>
            </w:pPr>
            <w:r w:rsidRPr="007A3023">
              <w:rPr>
                <w:color w:val="A6A6A6" w:themeColor="background1" w:themeShade="A6"/>
              </w:rPr>
              <w:t>Implicit attitudes, aggression</w:t>
            </w:r>
          </w:p>
        </w:tc>
        <w:tc>
          <w:tcPr>
            <w:tcW w:w="2676" w:type="dxa"/>
          </w:tcPr>
          <w:p w14:paraId="58907E08" w14:textId="6D319CCE" w:rsidR="007A3023" w:rsidRPr="007A3023" w:rsidRDefault="007A3023" w:rsidP="007A3023">
            <w:pPr>
              <w:pStyle w:val="NoSpacing"/>
              <w:rPr>
                <w:color w:val="A6A6A6" w:themeColor="background1" w:themeShade="A6"/>
              </w:rPr>
            </w:pPr>
            <w:r w:rsidRPr="007A3023">
              <w:rPr>
                <w:color w:val="A6A6A6" w:themeColor="background1" w:themeShade="A6"/>
              </w:rPr>
              <w:t>Yes</w:t>
            </w:r>
          </w:p>
        </w:tc>
      </w:tr>
      <w:tr w:rsidR="007A3023" w14:paraId="741033FC" w14:textId="3A3FE6AD" w:rsidTr="007A3023">
        <w:tc>
          <w:tcPr>
            <w:tcW w:w="1407" w:type="dxa"/>
          </w:tcPr>
          <w:p w14:paraId="050DCA29" w14:textId="1F6AF9DB" w:rsidR="007A3023" w:rsidRPr="0039331F" w:rsidRDefault="00B50B4A" w:rsidP="007A3023">
            <w:pPr>
              <w:pStyle w:val="NoSpacing"/>
              <w:rPr>
                <w:color w:val="A6A6A6" w:themeColor="background1" w:themeShade="A6"/>
              </w:rPr>
            </w:pPr>
            <w:r w:rsidRPr="0039331F">
              <w:rPr>
                <w:color w:val="A6A6A6" w:themeColor="background1" w:themeShade="A6"/>
              </w:rPr>
              <w:t>EDP 558</w:t>
            </w:r>
          </w:p>
        </w:tc>
        <w:tc>
          <w:tcPr>
            <w:tcW w:w="2463" w:type="dxa"/>
          </w:tcPr>
          <w:p w14:paraId="7D11471B" w14:textId="554298BA" w:rsidR="007A3023" w:rsidRPr="0039331F" w:rsidRDefault="00B50B4A" w:rsidP="007A3023">
            <w:pPr>
              <w:pStyle w:val="NoSpacing"/>
              <w:rPr>
                <w:color w:val="A6A6A6" w:themeColor="background1" w:themeShade="A6"/>
              </w:rPr>
            </w:pPr>
            <w:r w:rsidRPr="0039331F">
              <w:rPr>
                <w:color w:val="A6A6A6" w:themeColor="background1" w:themeShade="A6"/>
              </w:rPr>
              <w:t>Gathering, Analyzing, and Using Educational Data II</w:t>
            </w:r>
          </w:p>
        </w:tc>
        <w:tc>
          <w:tcPr>
            <w:tcW w:w="1176" w:type="dxa"/>
          </w:tcPr>
          <w:p w14:paraId="1AE1CA33" w14:textId="5E34257E" w:rsidR="007A3023" w:rsidRPr="0039331F" w:rsidRDefault="00B50B4A" w:rsidP="007A3023">
            <w:pPr>
              <w:pStyle w:val="NoSpacing"/>
              <w:rPr>
                <w:color w:val="A6A6A6" w:themeColor="background1" w:themeShade="A6"/>
              </w:rPr>
            </w:pPr>
            <w:r w:rsidRPr="0039331F">
              <w:rPr>
                <w:color w:val="A6A6A6" w:themeColor="background1" w:themeShade="A6"/>
              </w:rPr>
              <w:t>PSY 555 &amp; PSY 556</w:t>
            </w:r>
          </w:p>
        </w:tc>
        <w:tc>
          <w:tcPr>
            <w:tcW w:w="2774" w:type="dxa"/>
          </w:tcPr>
          <w:p w14:paraId="6316D5E0" w14:textId="7D9042AF" w:rsidR="007A3023" w:rsidRPr="0039331F" w:rsidRDefault="00B50B4A" w:rsidP="007A3023">
            <w:pPr>
              <w:pStyle w:val="NoSpacing"/>
              <w:rPr>
                <w:color w:val="A6A6A6" w:themeColor="background1" w:themeShade="A6"/>
              </w:rPr>
            </w:pPr>
            <w:r w:rsidRPr="0039331F">
              <w:rPr>
                <w:color w:val="A6A6A6" w:themeColor="background1" w:themeShade="A6"/>
              </w:rPr>
              <w:t>Group Comparison &amp; Measuring Associations</w:t>
            </w:r>
          </w:p>
        </w:tc>
        <w:tc>
          <w:tcPr>
            <w:tcW w:w="1593" w:type="dxa"/>
          </w:tcPr>
          <w:p w14:paraId="7E17D9EC" w14:textId="64884146" w:rsidR="007A3023" w:rsidRPr="0039331F" w:rsidRDefault="00B50B4A" w:rsidP="007A3023">
            <w:pPr>
              <w:pStyle w:val="NoSpacing"/>
              <w:rPr>
                <w:color w:val="A6A6A6" w:themeColor="background1" w:themeShade="A6"/>
              </w:rPr>
            </w:pPr>
            <w:r w:rsidRPr="0039331F">
              <w:rPr>
                <w:color w:val="A6A6A6" w:themeColor="background1" w:themeShade="A6"/>
              </w:rPr>
              <w:t>Yes, the 2 prior courses collectively cover &gt;90% of EDP 558</w:t>
            </w:r>
          </w:p>
        </w:tc>
        <w:tc>
          <w:tcPr>
            <w:tcW w:w="2301" w:type="dxa"/>
          </w:tcPr>
          <w:p w14:paraId="6360E8C3" w14:textId="6F77B648" w:rsidR="007A3023" w:rsidRPr="0039331F" w:rsidRDefault="0039331F" w:rsidP="007A3023">
            <w:pPr>
              <w:pStyle w:val="NoSpacing"/>
              <w:rPr>
                <w:color w:val="A6A6A6" w:themeColor="background1" w:themeShade="A6"/>
              </w:rPr>
            </w:pPr>
            <w:r w:rsidRPr="0039331F">
              <w:rPr>
                <w:color w:val="A6A6A6" w:themeColor="background1" w:themeShade="A6"/>
              </w:rPr>
              <w:t>None.</w:t>
            </w:r>
          </w:p>
        </w:tc>
        <w:tc>
          <w:tcPr>
            <w:tcW w:w="2676" w:type="dxa"/>
          </w:tcPr>
          <w:p w14:paraId="408158A8" w14:textId="5F3978C2" w:rsidR="007A3023" w:rsidRPr="0039331F" w:rsidRDefault="0039331F" w:rsidP="007A3023">
            <w:pPr>
              <w:pStyle w:val="NoSpacing"/>
              <w:rPr>
                <w:color w:val="A6A6A6" w:themeColor="background1" w:themeShade="A6"/>
              </w:rPr>
            </w:pPr>
            <w:r w:rsidRPr="0039331F">
              <w:rPr>
                <w:color w:val="A6A6A6" w:themeColor="background1" w:themeShade="A6"/>
              </w:rPr>
              <w:t>Yes, syllabi for 555 and 556 are provided as a single PDF entitled “Waiver Documentation for EDP 558”</w:t>
            </w:r>
          </w:p>
        </w:tc>
      </w:tr>
      <w:tr w:rsidR="007A3023" w14:paraId="6BA49E1E" w14:textId="3D330EC1" w:rsidTr="007A3023">
        <w:tc>
          <w:tcPr>
            <w:tcW w:w="1407" w:type="dxa"/>
          </w:tcPr>
          <w:p w14:paraId="2CA73120" w14:textId="77777777" w:rsidR="007A3023" w:rsidRDefault="007A3023" w:rsidP="007A3023">
            <w:pPr>
              <w:pStyle w:val="NoSpacing"/>
            </w:pPr>
          </w:p>
        </w:tc>
        <w:tc>
          <w:tcPr>
            <w:tcW w:w="2463" w:type="dxa"/>
          </w:tcPr>
          <w:p w14:paraId="251465BA" w14:textId="77777777" w:rsidR="007A3023" w:rsidRDefault="007A3023" w:rsidP="007A3023">
            <w:pPr>
              <w:pStyle w:val="NoSpacing"/>
            </w:pPr>
          </w:p>
        </w:tc>
        <w:tc>
          <w:tcPr>
            <w:tcW w:w="1176" w:type="dxa"/>
          </w:tcPr>
          <w:p w14:paraId="1A8F66E4" w14:textId="77777777" w:rsidR="007A3023" w:rsidRDefault="007A3023" w:rsidP="007A3023">
            <w:pPr>
              <w:pStyle w:val="NoSpacing"/>
            </w:pPr>
          </w:p>
        </w:tc>
        <w:tc>
          <w:tcPr>
            <w:tcW w:w="2774" w:type="dxa"/>
          </w:tcPr>
          <w:p w14:paraId="0A6AF5E6" w14:textId="77777777" w:rsidR="007A3023" w:rsidRDefault="007A3023" w:rsidP="007A3023">
            <w:pPr>
              <w:pStyle w:val="NoSpacing"/>
            </w:pPr>
          </w:p>
        </w:tc>
        <w:tc>
          <w:tcPr>
            <w:tcW w:w="1593" w:type="dxa"/>
          </w:tcPr>
          <w:p w14:paraId="44682D74" w14:textId="77777777" w:rsidR="007A3023" w:rsidRDefault="007A3023" w:rsidP="007A3023">
            <w:pPr>
              <w:pStyle w:val="NoSpacing"/>
            </w:pPr>
          </w:p>
        </w:tc>
        <w:tc>
          <w:tcPr>
            <w:tcW w:w="2301" w:type="dxa"/>
          </w:tcPr>
          <w:p w14:paraId="641A6421" w14:textId="77777777" w:rsidR="007A3023" w:rsidRDefault="007A3023" w:rsidP="007A3023">
            <w:pPr>
              <w:pStyle w:val="NoSpacing"/>
            </w:pPr>
          </w:p>
        </w:tc>
        <w:tc>
          <w:tcPr>
            <w:tcW w:w="2676" w:type="dxa"/>
          </w:tcPr>
          <w:p w14:paraId="6AC9E744" w14:textId="77777777" w:rsidR="007A3023" w:rsidRDefault="007A3023" w:rsidP="007A3023">
            <w:pPr>
              <w:pStyle w:val="NoSpacing"/>
            </w:pPr>
          </w:p>
        </w:tc>
      </w:tr>
      <w:tr w:rsidR="007A3023" w14:paraId="56C8EB62" w14:textId="5EB9FDC8" w:rsidTr="007A3023">
        <w:tc>
          <w:tcPr>
            <w:tcW w:w="1407" w:type="dxa"/>
          </w:tcPr>
          <w:p w14:paraId="2552E314" w14:textId="77777777" w:rsidR="007A3023" w:rsidRDefault="007A3023" w:rsidP="007A3023">
            <w:pPr>
              <w:pStyle w:val="NoSpacing"/>
            </w:pPr>
          </w:p>
        </w:tc>
        <w:tc>
          <w:tcPr>
            <w:tcW w:w="2463" w:type="dxa"/>
          </w:tcPr>
          <w:p w14:paraId="77DE4B9B" w14:textId="77777777" w:rsidR="007A3023" w:rsidRDefault="007A3023" w:rsidP="007A3023">
            <w:pPr>
              <w:pStyle w:val="NoSpacing"/>
            </w:pPr>
          </w:p>
        </w:tc>
        <w:tc>
          <w:tcPr>
            <w:tcW w:w="1176" w:type="dxa"/>
          </w:tcPr>
          <w:p w14:paraId="2607753E" w14:textId="77777777" w:rsidR="007A3023" w:rsidRDefault="007A3023" w:rsidP="007A3023">
            <w:pPr>
              <w:pStyle w:val="NoSpacing"/>
            </w:pPr>
          </w:p>
        </w:tc>
        <w:tc>
          <w:tcPr>
            <w:tcW w:w="2774" w:type="dxa"/>
          </w:tcPr>
          <w:p w14:paraId="07298FC9" w14:textId="77777777" w:rsidR="007A3023" w:rsidRDefault="007A3023" w:rsidP="007A3023">
            <w:pPr>
              <w:pStyle w:val="NoSpacing"/>
            </w:pPr>
          </w:p>
        </w:tc>
        <w:tc>
          <w:tcPr>
            <w:tcW w:w="1593" w:type="dxa"/>
          </w:tcPr>
          <w:p w14:paraId="607DD7B4" w14:textId="77777777" w:rsidR="007A3023" w:rsidRDefault="007A3023" w:rsidP="007A3023">
            <w:pPr>
              <w:pStyle w:val="NoSpacing"/>
            </w:pPr>
          </w:p>
        </w:tc>
        <w:tc>
          <w:tcPr>
            <w:tcW w:w="2301" w:type="dxa"/>
          </w:tcPr>
          <w:p w14:paraId="47B05E66" w14:textId="77777777" w:rsidR="007A3023" w:rsidRDefault="007A3023" w:rsidP="007A3023">
            <w:pPr>
              <w:pStyle w:val="NoSpacing"/>
            </w:pPr>
          </w:p>
        </w:tc>
        <w:tc>
          <w:tcPr>
            <w:tcW w:w="2676" w:type="dxa"/>
          </w:tcPr>
          <w:p w14:paraId="2049D905" w14:textId="77777777" w:rsidR="007A3023" w:rsidRDefault="007A3023" w:rsidP="007A3023">
            <w:pPr>
              <w:pStyle w:val="NoSpacing"/>
            </w:pPr>
          </w:p>
        </w:tc>
      </w:tr>
      <w:tr w:rsidR="007A3023" w14:paraId="6DE10657" w14:textId="4C1755DB" w:rsidTr="007A3023">
        <w:tc>
          <w:tcPr>
            <w:tcW w:w="1407" w:type="dxa"/>
          </w:tcPr>
          <w:p w14:paraId="74FAE404" w14:textId="77777777" w:rsidR="007A3023" w:rsidRDefault="007A3023" w:rsidP="007A3023">
            <w:pPr>
              <w:pStyle w:val="NoSpacing"/>
            </w:pPr>
          </w:p>
        </w:tc>
        <w:tc>
          <w:tcPr>
            <w:tcW w:w="2463" w:type="dxa"/>
          </w:tcPr>
          <w:p w14:paraId="580A705A" w14:textId="77777777" w:rsidR="007A3023" w:rsidRDefault="007A3023" w:rsidP="007A3023">
            <w:pPr>
              <w:pStyle w:val="NoSpacing"/>
            </w:pPr>
          </w:p>
        </w:tc>
        <w:tc>
          <w:tcPr>
            <w:tcW w:w="1176" w:type="dxa"/>
          </w:tcPr>
          <w:p w14:paraId="23851320" w14:textId="77777777" w:rsidR="007A3023" w:rsidRDefault="007A3023" w:rsidP="007A3023">
            <w:pPr>
              <w:pStyle w:val="NoSpacing"/>
            </w:pPr>
          </w:p>
        </w:tc>
        <w:tc>
          <w:tcPr>
            <w:tcW w:w="2774" w:type="dxa"/>
          </w:tcPr>
          <w:p w14:paraId="433B71B7" w14:textId="77777777" w:rsidR="007A3023" w:rsidRDefault="007A3023" w:rsidP="007A3023">
            <w:pPr>
              <w:pStyle w:val="NoSpacing"/>
            </w:pPr>
          </w:p>
        </w:tc>
        <w:tc>
          <w:tcPr>
            <w:tcW w:w="1593" w:type="dxa"/>
          </w:tcPr>
          <w:p w14:paraId="5A865112" w14:textId="77777777" w:rsidR="007A3023" w:rsidRDefault="007A3023" w:rsidP="007A3023">
            <w:pPr>
              <w:pStyle w:val="NoSpacing"/>
            </w:pPr>
          </w:p>
        </w:tc>
        <w:tc>
          <w:tcPr>
            <w:tcW w:w="2301" w:type="dxa"/>
          </w:tcPr>
          <w:p w14:paraId="442D9586" w14:textId="77777777" w:rsidR="007A3023" w:rsidRDefault="007A3023" w:rsidP="007A3023">
            <w:pPr>
              <w:pStyle w:val="NoSpacing"/>
            </w:pPr>
          </w:p>
        </w:tc>
        <w:tc>
          <w:tcPr>
            <w:tcW w:w="2676" w:type="dxa"/>
          </w:tcPr>
          <w:p w14:paraId="36457F83" w14:textId="77777777" w:rsidR="007A3023" w:rsidRDefault="007A3023" w:rsidP="007A3023">
            <w:pPr>
              <w:pStyle w:val="NoSpacing"/>
            </w:pPr>
          </w:p>
        </w:tc>
      </w:tr>
      <w:tr w:rsidR="007A3023" w14:paraId="43C23503" w14:textId="23398CF9" w:rsidTr="007A3023">
        <w:tc>
          <w:tcPr>
            <w:tcW w:w="1407" w:type="dxa"/>
          </w:tcPr>
          <w:p w14:paraId="6CBD1989" w14:textId="77777777" w:rsidR="007A3023" w:rsidRDefault="007A3023" w:rsidP="007A3023">
            <w:pPr>
              <w:pStyle w:val="NoSpacing"/>
            </w:pPr>
          </w:p>
        </w:tc>
        <w:tc>
          <w:tcPr>
            <w:tcW w:w="2463" w:type="dxa"/>
          </w:tcPr>
          <w:p w14:paraId="2D898632" w14:textId="77777777" w:rsidR="007A3023" w:rsidRDefault="007A3023" w:rsidP="007A3023">
            <w:pPr>
              <w:pStyle w:val="NoSpacing"/>
            </w:pPr>
          </w:p>
        </w:tc>
        <w:tc>
          <w:tcPr>
            <w:tcW w:w="1176" w:type="dxa"/>
          </w:tcPr>
          <w:p w14:paraId="0FEDF586" w14:textId="77777777" w:rsidR="007A3023" w:rsidRDefault="007A3023" w:rsidP="007A3023">
            <w:pPr>
              <w:pStyle w:val="NoSpacing"/>
            </w:pPr>
          </w:p>
        </w:tc>
        <w:tc>
          <w:tcPr>
            <w:tcW w:w="2774" w:type="dxa"/>
          </w:tcPr>
          <w:p w14:paraId="36F0C27D" w14:textId="77777777" w:rsidR="007A3023" w:rsidRDefault="007A3023" w:rsidP="007A3023">
            <w:pPr>
              <w:pStyle w:val="NoSpacing"/>
            </w:pPr>
          </w:p>
        </w:tc>
        <w:tc>
          <w:tcPr>
            <w:tcW w:w="1593" w:type="dxa"/>
          </w:tcPr>
          <w:p w14:paraId="4D6200B6" w14:textId="77777777" w:rsidR="007A3023" w:rsidRDefault="007A3023" w:rsidP="007A3023">
            <w:pPr>
              <w:pStyle w:val="NoSpacing"/>
            </w:pPr>
          </w:p>
        </w:tc>
        <w:tc>
          <w:tcPr>
            <w:tcW w:w="2301" w:type="dxa"/>
          </w:tcPr>
          <w:p w14:paraId="34BA4188" w14:textId="77777777" w:rsidR="007A3023" w:rsidRDefault="007A3023" w:rsidP="007A3023">
            <w:pPr>
              <w:pStyle w:val="NoSpacing"/>
            </w:pPr>
          </w:p>
        </w:tc>
        <w:tc>
          <w:tcPr>
            <w:tcW w:w="2676" w:type="dxa"/>
          </w:tcPr>
          <w:p w14:paraId="71E1F1C3" w14:textId="77777777" w:rsidR="007A3023" w:rsidRDefault="007A3023" w:rsidP="007A3023">
            <w:pPr>
              <w:pStyle w:val="NoSpacing"/>
            </w:pPr>
          </w:p>
        </w:tc>
      </w:tr>
      <w:tr w:rsidR="007A3023" w14:paraId="73CF2292" w14:textId="0404C6B8" w:rsidTr="007A3023">
        <w:tc>
          <w:tcPr>
            <w:tcW w:w="1407" w:type="dxa"/>
          </w:tcPr>
          <w:p w14:paraId="0C788757" w14:textId="77777777" w:rsidR="007A3023" w:rsidRDefault="007A3023" w:rsidP="007A3023">
            <w:pPr>
              <w:pStyle w:val="NoSpacing"/>
            </w:pPr>
          </w:p>
        </w:tc>
        <w:tc>
          <w:tcPr>
            <w:tcW w:w="2463" w:type="dxa"/>
          </w:tcPr>
          <w:p w14:paraId="06ECC084" w14:textId="77777777" w:rsidR="007A3023" w:rsidRDefault="007A3023" w:rsidP="007A3023">
            <w:pPr>
              <w:pStyle w:val="NoSpacing"/>
            </w:pPr>
          </w:p>
        </w:tc>
        <w:tc>
          <w:tcPr>
            <w:tcW w:w="1176" w:type="dxa"/>
          </w:tcPr>
          <w:p w14:paraId="43A24C5D" w14:textId="77777777" w:rsidR="007A3023" w:rsidRDefault="007A3023" w:rsidP="007A3023">
            <w:pPr>
              <w:pStyle w:val="NoSpacing"/>
            </w:pPr>
          </w:p>
        </w:tc>
        <w:tc>
          <w:tcPr>
            <w:tcW w:w="2774" w:type="dxa"/>
          </w:tcPr>
          <w:p w14:paraId="44585F68" w14:textId="77777777" w:rsidR="007A3023" w:rsidRDefault="007A3023" w:rsidP="007A3023">
            <w:pPr>
              <w:pStyle w:val="NoSpacing"/>
            </w:pPr>
          </w:p>
        </w:tc>
        <w:tc>
          <w:tcPr>
            <w:tcW w:w="1593" w:type="dxa"/>
          </w:tcPr>
          <w:p w14:paraId="0D50E789" w14:textId="77777777" w:rsidR="007A3023" w:rsidRDefault="007A3023" w:rsidP="007A3023">
            <w:pPr>
              <w:pStyle w:val="NoSpacing"/>
            </w:pPr>
          </w:p>
        </w:tc>
        <w:tc>
          <w:tcPr>
            <w:tcW w:w="2301" w:type="dxa"/>
          </w:tcPr>
          <w:p w14:paraId="4930BC92" w14:textId="77777777" w:rsidR="007A3023" w:rsidRDefault="007A3023" w:rsidP="007A3023">
            <w:pPr>
              <w:pStyle w:val="NoSpacing"/>
            </w:pPr>
          </w:p>
        </w:tc>
        <w:tc>
          <w:tcPr>
            <w:tcW w:w="2676" w:type="dxa"/>
          </w:tcPr>
          <w:p w14:paraId="46484481" w14:textId="77777777" w:rsidR="007A3023" w:rsidRDefault="007A3023" w:rsidP="007A3023">
            <w:pPr>
              <w:pStyle w:val="NoSpacing"/>
            </w:pPr>
          </w:p>
        </w:tc>
      </w:tr>
      <w:tr w:rsidR="007A3023" w14:paraId="623652ED" w14:textId="77777777" w:rsidTr="007A3023">
        <w:tc>
          <w:tcPr>
            <w:tcW w:w="1407" w:type="dxa"/>
          </w:tcPr>
          <w:p w14:paraId="031D0090" w14:textId="77777777" w:rsidR="007A3023" w:rsidRDefault="007A3023" w:rsidP="007A3023">
            <w:pPr>
              <w:pStyle w:val="NoSpacing"/>
            </w:pPr>
          </w:p>
        </w:tc>
        <w:tc>
          <w:tcPr>
            <w:tcW w:w="2463" w:type="dxa"/>
          </w:tcPr>
          <w:p w14:paraId="0AAB35CF" w14:textId="77777777" w:rsidR="007A3023" w:rsidRDefault="007A3023" w:rsidP="007A3023">
            <w:pPr>
              <w:pStyle w:val="NoSpacing"/>
            </w:pPr>
          </w:p>
        </w:tc>
        <w:tc>
          <w:tcPr>
            <w:tcW w:w="1176" w:type="dxa"/>
          </w:tcPr>
          <w:p w14:paraId="653C0118" w14:textId="77777777" w:rsidR="007A3023" w:rsidRDefault="007A3023" w:rsidP="007A3023">
            <w:pPr>
              <w:pStyle w:val="NoSpacing"/>
            </w:pPr>
          </w:p>
        </w:tc>
        <w:tc>
          <w:tcPr>
            <w:tcW w:w="2774" w:type="dxa"/>
          </w:tcPr>
          <w:p w14:paraId="4A02DDB6" w14:textId="77777777" w:rsidR="007A3023" w:rsidRDefault="007A3023" w:rsidP="007A3023">
            <w:pPr>
              <w:pStyle w:val="NoSpacing"/>
            </w:pPr>
          </w:p>
        </w:tc>
        <w:tc>
          <w:tcPr>
            <w:tcW w:w="1593" w:type="dxa"/>
          </w:tcPr>
          <w:p w14:paraId="6B005E2A" w14:textId="77777777" w:rsidR="007A3023" w:rsidRDefault="007A3023" w:rsidP="007A3023">
            <w:pPr>
              <w:pStyle w:val="NoSpacing"/>
            </w:pPr>
          </w:p>
        </w:tc>
        <w:tc>
          <w:tcPr>
            <w:tcW w:w="2301" w:type="dxa"/>
          </w:tcPr>
          <w:p w14:paraId="0829634D" w14:textId="77777777" w:rsidR="007A3023" w:rsidRDefault="007A3023" w:rsidP="007A3023">
            <w:pPr>
              <w:pStyle w:val="NoSpacing"/>
            </w:pPr>
          </w:p>
        </w:tc>
        <w:tc>
          <w:tcPr>
            <w:tcW w:w="2676" w:type="dxa"/>
          </w:tcPr>
          <w:p w14:paraId="36D34622" w14:textId="77777777" w:rsidR="007A3023" w:rsidRDefault="007A3023" w:rsidP="007A3023">
            <w:pPr>
              <w:pStyle w:val="NoSpacing"/>
            </w:pPr>
          </w:p>
        </w:tc>
      </w:tr>
      <w:tr w:rsidR="00A40E0A" w14:paraId="7CE77663" w14:textId="77777777" w:rsidTr="007A3023">
        <w:tc>
          <w:tcPr>
            <w:tcW w:w="1407" w:type="dxa"/>
          </w:tcPr>
          <w:p w14:paraId="0902B9B5" w14:textId="77777777" w:rsidR="00A40E0A" w:rsidRDefault="00A40E0A" w:rsidP="007A3023">
            <w:pPr>
              <w:pStyle w:val="NoSpacing"/>
            </w:pPr>
          </w:p>
        </w:tc>
        <w:tc>
          <w:tcPr>
            <w:tcW w:w="2463" w:type="dxa"/>
          </w:tcPr>
          <w:p w14:paraId="489AF8CB" w14:textId="77777777" w:rsidR="00A40E0A" w:rsidRDefault="00A40E0A" w:rsidP="007A3023">
            <w:pPr>
              <w:pStyle w:val="NoSpacing"/>
            </w:pPr>
          </w:p>
        </w:tc>
        <w:tc>
          <w:tcPr>
            <w:tcW w:w="1176" w:type="dxa"/>
          </w:tcPr>
          <w:p w14:paraId="7C476BBE" w14:textId="77777777" w:rsidR="00A40E0A" w:rsidRDefault="00A40E0A" w:rsidP="007A3023">
            <w:pPr>
              <w:pStyle w:val="NoSpacing"/>
            </w:pPr>
          </w:p>
        </w:tc>
        <w:tc>
          <w:tcPr>
            <w:tcW w:w="2774" w:type="dxa"/>
          </w:tcPr>
          <w:p w14:paraId="5AFD5CB8" w14:textId="77777777" w:rsidR="00A40E0A" w:rsidRDefault="00A40E0A" w:rsidP="007A3023">
            <w:pPr>
              <w:pStyle w:val="NoSpacing"/>
            </w:pPr>
          </w:p>
        </w:tc>
        <w:tc>
          <w:tcPr>
            <w:tcW w:w="1593" w:type="dxa"/>
          </w:tcPr>
          <w:p w14:paraId="44DAF30F" w14:textId="77777777" w:rsidR="00A40E0A" w:rsidRDefault="00A40E0A" w:rsidP="007A3023">
            <w:pPr>
              <w:pStyle w:val="NoSpacing"/>
            </w:pPr>
          </w:p>
        </w:tc>
        <w:tc>
          <w:tcPr>
            <w:tcW w:w="2301" w:type="dxa"/>
          </w:tcPr>
          <w:p w14:paraId="1EAB55BA" w14:textId="77777777" w:rsidR="00A40E0A" w:rsidRDefault="00A40E0A" w:rsidP="007A3023">
            <w:pPr>
              <w:pStyle w:val="NoSpacing"/>
            </w:pPr>
          </w:p>
        </w:tc>
        <w:tc>
          <w:tcPr>
            <w:tcW w:w="2676" w:type="dxa"/>
          </w:tcPr>
          <w:p w14:paraId="2E047ACB" w14:textId="77777777" w:rsidR="00A40E0A" w:rsidRDefault="00A40E0A" w:rsidP="007A3023">
            <w:pPr>
              <w:pStyle w:val="NoSpacing"/>
            </w:pPr>
          </w:p>
        </w:tc>
      </w:tr>
      <w:tr w:rsidR="00A40E0A" w14:paraId="6722A7DF" w14:textId="77777777" w:rsidTr="007A3023">
        <w:tc>
          <w:tcPr>
            <w:tcW w:w="1407" w:type="dxa"/>
          </w:tcPr>
          <w:p w14:paraId="165D11AF" w14:textId="77777777" w:rsidR="00A40E0A" w:rsidRDefault="00A40E0A" w:rsidP="007A3023">
            <w:pPr>
              <w:pStyle w:val="NoSpacing"/>
            </w:pPr>
          </w:p>
        </w:tc>
        <w:tc>
          <w:tcPr>
            <w:tcW w:w="2463" w:type="dxa"/>
          </w:tcPr>
          <w:p w14:paraId="0B7C169B" w14:textId="77777777" w:rsidR="00A40E0A" w:rsidRDefault="00A40E0A" w:rsidP="007A3023">
            <w:pPr>
              <w:pStyle w:val="NoSpacing"/>
            </w:pPr>
          </w:p>
        </w:tc>
        <w:tc>
          <w:tcPr>
            <w:tcW w:w="1176" w:type="dxa"/>
          </w:tcPr>
          <w:p w14:paraId="327BFC58" w14:textId="77777777" w:rsidR="00A40E0A" w:rsidRDefault="00A40E0A" w:rsidP="007A3023">
            <w:pPr>
              <w:pStyle w:val="NoSpacing"/>
            </w:pPr>
          </w:p>
        </w:tc>
        <w:tc>
          <w:tcPr>
            <w:tcW w:w="2774" w:type="dxa"/>
          </w:tcPr>
          <w:p w14:paraId="598C931C" w14:textId="77777777" w:rsidR="00A40E0A" w:rsidRDefault="00A40E0A" w:rsidP="007A3023">
            <w:pPr>
              <w:pStyle w:val="NoSpacing"/>
            </w:pPr>
          </w:p>
        </w:tc>
        <w:tc>
          <w:tcPr>
            <w:tcW w:w="1593" w:type="dxa"/>
          </w:tcPr>
          <w:p w14:paraId="00F47C88" w14:textId="77777777" w:rsidR="00A40E0A" w:rsidRDefault="00A40E0A" w:rsidP="007A3023">
            <w:pPr>
              <w:pStyle w:val="NoSpacing"/>
            </w:pPr>
          </w:p>
        </w:tc>
        <w:tc>
          <w:tcPr>
            <w:tcW w:w="2301" w:type="dxa"/>
          </w:tcPr>
          <w:p w14:paraId="3E5A1B56" w14:textId="77777777" w:rsidR="00A40E0A" w:rsidRDefault="00A40E0A" w:rsidP="007A3023">
            <w:pPr>
              <w:pStyle w:val="NoSpacing"/>
            </w:pPr>
          </w:p>
        </w:tc>
        <w:tc>
          <w:tcPr>
            <w:tcW w:w="2676" w:type="dxa"/>
          </w:tcPr>
          <w:p w14:paraId="21D79959" w14:textId="77777777" w:rsidR="00A40E0A" w:rsidRDefault="00A40E0A" w:rsidP="007A3023">
            <w:pPr>
              <w:pStyle w:val="NoSpacing"/>
            </w:pPr>
          </w:p>
        </w:tc>
      </w:tr>
      <w:tr w:rsidR="00A40E0A" w14:paraId="093ACF66" w14:textId="77777777" w:rsidTr="007A3023">
        <w:tc>
          <w:tcPr>
            <w:tcW w:w="1407" w:type="dxa"/>
          </w:tcPr>
          <w:p w14:paraId="4BB4A9E3" w14:textId="77777777" w:rsidR="00A40E0A" w:rsidRDefault="00A40E0A" w:rsidP="007A3023">
            <w:pPr>
              <w:pStyle w:val="NoSpacing"/>
            </w:pPr>
          </w:p>
        </w:tc>
        <w:tc>
          <w:tcPr>
            <w:tcW w:w="2463" w:type="dxa"/>
          </w:tcPr>
          <w:p w14:paraId="6CE64C8E" w14:textId="77777777" w:rsidR="00A40E0A" w:rsidRDefault="00A40E0A" w:rsidP="007A3023">
            <w:pPr>
              <w:pStyle w:val="NoSpacing"/>
            </w:pPr>
          </w:p>
        </w:tc>
        <w:tc>
          <w:tcPr>
            <w:tcW w:w="1176" w:type="dxa"/>
          </w:tcPr>
          <w:p w14:paraId="5A13D912" w14:textId="77777777" w:rsidR="00A40E0A" w:rsidRDefault="00A40E0A" w:rsidP="007A3023">
            <w:pPr>
              <w:pStyle w:val="NoSpacing"/>
            </w:pPr>
          </w:p>
        </w:tc>
        <w:tc>
          <w:tcPr>
            <w:tcW w:w="2774" w:type="dxa"/>
          </w:tcPr>
          <w:p w14:paraId="467B808C" w14:textId="77777777" w:rsidR="00A40E0A" w:rsidRDefault="00A40E0A" w:rsidP="007A3023">
            <w:pPr>
              <w:pStyle w:val="NoSpacing"/>
            </w:pPr>
          </w:p>
        </w:tc>
        <w:tc>
          <w:tcPr>
            <w:tcW w:w="1593" w:type="dxa"/>
          </w:tcPr>
          <w:p w14:paraId="0AFF621D" w14:textId="77777777" w:rsidR="00A40E0A" w:rsidRDefault="00A40E0A" w:rsidP="007A3023">
            <w:pPr>
              <w:pStyle w:val="NoSpacing"/>
            </w:pPr>
          </w:p>
        </w:tc>
        <w:tc>
          <w:tcPr>
            <w:tcW w:w="2301" w:type="dxa"/>
          </w:tcPr>
          <w:p w14:paraId="0263B18E" w14:textId="77777777" w:rsidR="00A40E0A" w:rsidRDefault="00A40E0A" w:rsidP="007A3023">
            <w:pPr>
              <w:pStyle w:val="NoSpacing"/>
            </w:pPr>
          </w:p>
        </w:tc>
        <w:tc>
          <w:tcPr>
            <w:tcW w:w="2676" w:type="dxa"/>
          </w:tcPr>
          <w:p w14:paraId="459F3ED8" w14:textId="77777777" w:rsidR="00A40E0A" w:rsidRDefault="00A40E0A" w:rsidP="007A3023">
            <w:pPr>
              <w:pStyle w:val="NoSpacing"/>
            </w:pPr>
          </w:p>
        </w:tc>
      </w:tr>
      <w:tr w:rsidR="00A40E0A" w14:paraId="300AB07A" w14:textId="77777777" w:rsidTr="007A3023">
        <w:tc>
          <w:tcPr>
            <w:tcW w:w="1407" w:type="dxa"/>
          </w:tcPr>
          <w:p w14:paraId="3F46F19E" w14:textId="77777777" w:rsidR="00A40E0A" w:rsidRDefault="00A40E0A" w:rsidP="007A3023">
            <w:pPr>
              <w:pStyle w:val="NoSpacing"/>
            </w:pPr>
          </w:p>
        </w:tc>
        <w:tc>
          <w:tcPr>
            <w:tcW w:w="2463" w:type="dxa"/>
          </w:tcPr>
          <w:p w14:paraId="1FB022ED" w14:textId="77777777" w:rsidR="00A40E0A" w:rsidRDefault="00A40E0A" w:rsidP="007A3023">
            <w:pPr>
              <w:pStyle w:val="NoSpacing"/>
            </w:pPr>
          </w:p>
        </w:tc>
        <w:tc>
          <w:tcPr>
            <w:tcW w:w="1176" w:type="dxa"/>
          </w:tcPr>
          <w:p w14:paraId="4338A07C" w14:textId="77777777" w:rsidR="00A40E0A" w:rsidRDefault="00A40E0A" w:rsidP="007A3023">
            <w:pPr>
              <w:pStyle w:val="NoSpacing"/>
            </w:pPr>
          </w:p>
        </w:tc>
        <w:tc>
          <w:tcPr>
            <w:tcW w:w="2774" w:type="dxa"/>
          </w:tcPr>
          <w:p w14:paraId="6E718C56" w14:textId="77777777" w:rsidR="00A40E0A" w:rsidRDefault="00A40E0A" w:rsidP="007A3023">
            <w:pPr>
              <w:pStyle w:val="NoSpacing"/>
            </w:pPr>
          </w:p>
        </w:tc>
        <w:tc>
          <w:tcPr>
            <w:tcW w:w="1593" w:type="dxa"/>
          </w:tcPr>
          <w:p w14:paraId="1521B089" w14:textId="77777777" w:rsidR="00A40E0A" w:rsidRDefault="00A40E0A" w:rsidP="007A3023">
            <w:pPr>
              <w:pStyle w:val="NoSpacing"/>
            </w:pPr>
          </w:p>
        </w:tc>
        <w:tc>
          <w:tcPr>
            <w:tcW w:w="2301" w:type="dxa"/>
          </w:tcPr>
          <w:p w14:paraId="487E43D2" w14:textId="77777777" w:rsidR="00A40E0A" w:rsidRDefault="00A40E0A" w:rsidP="007A3023">
            <w:pPr>
              <w:pStyle w:val="NoSpacing"/>
            </w:pPr>
          </w:p>
        </w:tc>
        <w:tc>
          <w:tcPr>
            <w:tcW w:w="2676" w:type="dxa"/>
          </w:tcPr>
          <w:p w14:paraId="2EFCB724" w14:textId="77777777" w:rsidR="00A40E0A" w:rsidRDefault="00A40E0A" w:rsidP="007A3023">
            <w:pPr>
              <w:pStyle w:val="NoSpacing"/>
            </w:pPr>
          </w:p>
        </w:tc>
      </w:tr>
      <w:tr w:rsidR="00A40E0A" w14:paraId="6F8225B0" w14:textId="77777777" w:rsidTr="007A3023">
        <w:tc>
          <w:tcPr>
            <w:tcW w:w="1407" w:type="dxa"/>
          </w:tcPr>
          <w:p w14:paraId="44DE059F" w14:textId="77777777" w:rsidR="00A40E0A" w:rsidRDefault="00A40E0A" w:rsidP="007A3023">
            <w:pPr>
              <w:pStyle w:val="NoSpacing"/>
            </w:pPr>
          </w:p>
        </w:tc>
        <w:tc>
          <w:tcPr>
            <w:tcW w:w="2463" w:type="dxa"/>
          </w:tcPr>
          <w:p w14:paraId="148A8772" w14:textId="77777777" w:rsidR="00A40E0A" w:rsidRDefault="00A40E0A" w:rsidP="007A3023">
            <w:pPr>
              <w:pStyle w:val="NoSpacing"/>
            </w:pPr>
          </w:p>
        </w:tc>
        <w:tc>
          <w:tcPr>
            <w:tcW w:w="1176" w:type="dxa"/>
          </w:tcPr>
          <w:p w14:paraId="217ADC5C" w14:textId="77777777" w:rsidR="00A40E0A" w:rsidRDefault="00A40E0A" w:rsidP="007A3023">
            <w:pPr>
              <w:pStyle w:val="NoSpacing"/>
            </w:pPr>
          </w:p>
        </w:tc>
        <w:tc>
          <w:tcPr>
            <w:tcW w:w="2774" w:type="dxa"/>
          </w:tcPr>
          <w:p w14:paraId="016474E4" w14:textId="77777777" w:rsidR="00A40E0A" w:rsidRDefault="00A40E0A" w:rsidP="007A3023">
            <w:pPr>
              <w:pStyle w:val="NoSpacing"/>
            </w:pPr>
          </w:p>
        </w:tc>
        <w:tc>
          <w:tcPr>
            <w:tcW w:w="1593" w:type="dxa"/>
          </w:tcPr>
          <w:p w14:paraId="05E4FC8A" w14:textId="77777777" w:rsidR="00A40E0A" w:rsidRDefault="00A40E0A" w:rsidP="007A3023">
            <w:pPr>
              <w:pStyle w:val="NoSpacing"/>
            </w:pPr>
          </w:p>
        </w:tc>
        <w:tc>
          <w:tcPr>
            <w:tcW w:w="2301" w:type="dxa"/>
          </w:tcPr>
          <w:p w14:paraId="3CB8E5F8" w14:textId="77777777" w:rsidR="00A40E0A" w:rsidRDefault="00A40E0A" w:rsidP="007A3023">
            <w:pPr>
              <w:pStyle w:val="NoSpacing"/>
            </w:pPr>
          </w:p>
        </w:tc>
        <w:tc>
          <w:tcPr>
            <w:tcW w:w="2676" w:type="dxa"/>
          </w:tcPr>
          <w:p w14:paraId="1C5B2409" w14:textId="77777777" w:rsidR="00A40E0A" w:rsidRDefault="00A40E0A" w:rsidP="007A3023">
            <w:pPr>
              <w:pStyle w:val="NoSpacing"/>
            </w:pPr>
          </w:p>
        </w:tc>
      </w:tr>
      <w:tr w:rsidR="00A40E0A" w14:paraId="0830920B" w14:textId="77777777" w:rsidTr="007A3023">
        <w:tc>
          <w:tcPr>
            <w:tcW w:w="1407" w:type="dxa"/>
          </w:tcPr>
          <w:p w14:paraId="74DBBD84" w14:textId="77777777" w:rsidR="00A40E0A" w:rsidRDefault="00A40E0A" w:rsidP="007A3023">
            <w:pPr>
              <w:pStyle w:val="NoSpacing"/>
            </w:pPr>
          </w:p>
        </w:tc>
        <w:tc>
          <w:tcPr>
            <w:tcW w:w="2463" w:type="dxa"/>
          </w:tcPr>
          <w:p w14:paraId="2D025881" w14:textId="77777777" w:rsidR="00A40E0A" w:rsidRDefault="00A40E0A" w:rsidP="007A3023">
            <w:pPr>
              <w:pStyle w:val="NoSpacing"/>
            </w:pPr>
          </w:p>
        </w:tc>
        <w:tc>
          <w:tcPr>
            <w:tcW w:w="1176" w:type="dxa"/>
          </w:tcPr>
          <w:p w14:paraId="4E0A27E7" w14:textId="77777777" w:rsidR="00A40E0A" w:rsidRDefault="00A40E0A" w:rsidP="007A3023">
            <w:pPr>
              <w:pStyle w:val="NoSpacing"/>
            </w:pPr>
          </w:p>
        </w:tc>
        <w:tc>
          <w:tcPr>
            <w:tcW w:w="2774" w:type="dxa"/>
          </w:tcPr>
          <w:p w14:paraId="76A996FE" w14:textId="77777777" w:rsidR="00A40E0A" w:rsidRDefault="00A40E0A" w:rsidP="007A3023">
            <w:pPr>
              <w:pStyle w:val="NoSpacing"/>
            </w:pPr>
          </w:p>
        </w:tc>
        <w:tc>
          <w:tcPr>
            <w:tcW w:w="1593" w:type="dxa"/>
          </w:tcPr>
          <w:p w14:paraId="63127273" w14:textId="77777777" w:rsidR="00A40E0A" w:rsidRDefault="00A40E0A" w:rsidP="007A3023">
            <w:pPr>
              <w:pStyle w:val="NoSpacing"/>
            </w:pPr>
          </w:p>
        </w:tc>
        <w:tc>
          <w:tcPr>
            <w:tcW w:w="2301" w:type="dxa"/>
          </w:tcPr>
          <w:p w14:paraId="55BDA06F" w14:textId="77777777" w:rsidR="00A40E0A" w:rsidRDefault="00A40E0A" w:rsidP="007A3023">
            <w:pPr>
              <w:pStyle w:val="NoSpacing"/>
            </w:pPr>
          </w:p>
        </w:tc>
        <w:tc>
          <w:tcPr>
            <w:tcW w:w="2676" w:type="dxa"/>
          </w:tcPr>
          <w:p w14:paraId="66C0A96C" w14:textId="77777777" w:rsidR="00A40E0A" w:rsidRDefault="00A40E0A" w:rsidP="007A3023">
            <w:pPr>
              <w:pStyle w:val="NoSpacing"/>
            </w:pPr>
          </w:p>
        </w:tc>
      </w:tr>
    </w:tbl>
    <w:p w14:paraId="1DD02E03" w14:textId="6E12C670" w:rsidR="000D7DE8" w:rsidRDefault="00FA1D17" w:rsidP="000D7DE8">
      <w:pPr>
        <w:pStyle w:val="NoSpacing"/>
      </w:pPr>
      <w:r>
        <w:t xml:space="preserve">Note: the two </w:t>
      </w:r>
      <w:r w:rsidRPr="00FA1D17">
        <w:rPr>
          <w:color w:val="A6A6A6" w:themeColor="background1" w:themeShade="A6"/>
        </w:rPr>
        <w:t xml:space="preserve">grey rows </w:t>
      </w:r>
      <w:r>
        <w:t>are sample entries and can be deleted.</w:t>
      </w:r>
    </w:p>
    <w:p w14:paraId="6153AA26" w14:textId="61B3708F" w:rsidR="007B7C57" w:rsidRDefault="007B7C57" w:rsidP="000D7DE8">
      <w:pPr>
        <w:pStyle w:val="NoSpacing"/>
      </w:pPr>
    </w:p>
    <w:p w14:paraId="3BF20859" w14:textId="75E90B9B" w:rsidR="007B7C57" w:rsidRPr="00044FF4" w:rsidRDefault="007B7C57" w:rsidP="000D7DE8">
      <w:pPr>
        <w:pStyle w:val="NoSpacing"/>
        <w:rPr>
          <w:b/>
          <w:bCs/>
        </w:rPr>
      </w:pPr>
      <w:r w:rsidRPr="00044FF4">
        <w:rPr>
          <w:b/>
          <w:bCs/>
        </w:rPr>
        <w:t>Table 2</w:t>
      </w:r>
    </w:p>
    <w:tbl>
      <w:tblPr>
        <w:tblStyle w:val="TableGrid"/>
        <w:tblW w:w="0" w:type="auto"/>
        <w:tblLook w:val="04A0" w:firstRow="1" w:lastRow="0" w:firstColumn="1" w:lastColumn="0" w:noHBand="0" w:noVBand="1"/>
      </w:tblPr>
      <w:tblGrid>
        <w:gridCol w:w="4135"/>
        <w:gridCol w:w="5670"/>
        <w:gridCol w:w="1890"/>
        <w:gridCol w:w="2695"/>
      </w:tblGrid>
      <w:tr w:rsidR="00FE62DC" w14:paraId="675B0D97" w14:textId="05E5EDAC" w:rsidTr="00264F08">
        <w:tc>
          <w:tcPr>
            <w:tcW w:w="4135" w:type="dxa"/>
          </w:tcPr>
          <w:p w14:paraId="25337D5D" w14:textId="0FDEE1E9" w:rsidR="00FE62DC" w:rsidRPr="007E22C2" w:rsidRDefault="00FE62DC" w:rsidP="000D7DE8">
            <w:pPr>
              <w:pStyle w:val="NoSpacing"/>
              <w:rPr>
                <w:b/>
                <w:bCs/>
              </w:rPr>
            </w:pPr>
            <w:r w:rsidRPr="009B4B10">
              <w:rPr>
                <w:b/>
                <w:bCs/>
                <w:color w:val="7030A0"/>
              </w:rPr>
              <w:t xml:space="preserve">Required Topic Areas </w:t>
            </w:r>
            <w:r w:rsidRPr="007E22C2">
              <w:rPr>
                <w:b/>
                <w:bCs/>
              </w:rPr>
              <w:t>for KY Licensure (</w:t>
            </w:r>
            <w:r w:rsidR="00582753">
              <w:rPr>
                <w:b/>
                <w:bCs/>
              </w:rPr>
              <w:t>similar</w:t>
            </w:r>
            <w:r w:rsidRPr="007E22C2">
              <w:rPr>
                <w:b/>
                <w:bCs/>
              </w:rPr>
              <w:t xml:space="preserve"> for most U.S. States</w:t>
            </w:r>
            <w:r w:rsidR="00582753">
              <w:rPr>
                <w:b/>
                <w:bCs/>
              </w:rPr>
              <w:t xml:space="preserve"> and for some other Countries</w:t>
            </w:r>
            <w:r w:rsidRPr="007E22C2">
              <w:rPr>
                <w:b/>
                <w:bCs/>
              </w:rPr>
              <w:t>)</w:t>
            </w:r>
          </w:p>
        </w:tc>
        <w:tc>
          <w:tcPr>
            <w:tcW w:w="5670" w:type="dxa"/>
          </w:tcPr>
          <w:p w14:paraId="435D24D6" w14:textId="61C96639" w:rsidR="00FE62DC" w:rsidRDefault="00FE62DC" w:rsidP="000D7DE8">
            <w:pPr>
              <w:pStyle w:val="NoSpacing"/>
            </w:pPr>
            <w:r>
              <w:t xml:space="preserve">What is the </w:t>
            </w:r>
            <w:r w:rsidRPr="00FE62DC">
              <w:rPr>
                <w:b/>
                <w:bCs/>
              </w:rPr>
              <w:t>name</w:t>
            </w:r>
            <w:r w:rsidRPr="005C1425">
              <w:rPr>
                <w:b/>
                <w:bCs/>
              </w:rPr>
              <w:t xml:space="preserve"> of the course</w:t>
            </w:r>
            <w:r>
              <w:t xml:space="preserve"> you will use to fulfill this licensure requirement?</w:t>
            </w:r>
            <w:r w:rsidR="006B7AAD">
              <w:t xml:space="preserve"> If not the listed UK course, replace </w:t>
            </w:r>
            <w:r w:rsidR="0011373D">
              <w:t>it with the course number and name</w:t>
            </w:r>
          </w:p>
        </w:tc>
        <w:tc>
          <w:tcPr>
            <w:tcW w:w="1890" w:type="dxa"/>
          </w:tcPr>
          <w:p w14:paraId="1B936B3D" w14:textId="761B2472" w:rsidR="00FE62DC" w:rsidRDefault="00FE62DC" w:rsidP="000D7DE8">
            <w:pPr>
              <w:pStyle w:val="NoSpacing"/>
            </w:pPr>
            <w:r>
              <w:t xml:space="preserve">Is the name of the </w:t>
            </w:r>
            <w:r w:rsidRPr="009B4B10">
              <w:rPr>
                <w:color w:val="7030A0"/>
              </w:rPr>
              <w:t xml:space="preserve">required topic area </w:t>
            </w:r>
            <w:r>
              <w:t xml:space="preserve">clearly </w:t>
            </w:r>
            <w:r w:rsidRPr="005C1425">
              <w:rPr>
                <w:b/>
                <w:bCs/>
              </w:rPr>
              <w:lastRenderedPageBreak/>
              <w:t>reflected</w:t>
            </w:r>
            <w:r>
              <w:t xml:space="preserve"> in the name of the course</w:t>
            </w:r>
            <w:r w:rsidR="00264F08">
              <w:t>?</w:t>
            </w:r>
            <w:r w:rsidR="00F50709">
              <w:t xml:space="preserve"> (Y/N)</w:t>
            </w:r>
          </w:p>
        </w:tc>
        <w:tc>
          <w:tcPr>
            <w:tcW w:w="2695" w:type="dxa"/>
          </w:tcPr>
          <w:p w14:paraId="60DB8805" w14:textId="66A28D49" w:rsidR="00FE62DC" w:rsidRDefault="00FE62DC" w:rsidP="000D7DE8">
            <w:pPr>
              <w:pStyle w:val="NoSpacing"/>
            </w:pPr>
            <w:r>
              <w:lastRenderedPageBreak/>
              <w:t xml:space="preserve">Do you have an official </w:t>
            </w:r>
            <w:r w:rsidRPr="00FE62DC">
              <w:rPr>
                <w:b/>
                <w:bCs/>
              </w:rPr>
              <w:t>syllabus</w:t>
            </w:r>
            <w:r>
              <w:t xml:space="preserve"> for that course that, if requested by the </w:t>
            </w:r>
            <w:r>
              <w:lastRenderedPageBreak/>
              <w:t>licensure board, you can attach to your licensure application?</w:t>
            </w:r>
            <w:r w:rsidR="00F50709">
              <w:t xml:space="preserve"> (Y/N)</w:t>
            </w:r>
          </w:p>
        </w:tc>
      </w:tr>
      <w:tr w:rsidR="00FE62DC" w14:paraId="3071D5B4" w14:textId="0C838CCE" w:rsidTr="00264F08">
        <w:tc>
          <w:tcPr>
            <w:tcW w:w="4135" w:type="dxa"/>
          </w:tcPr>
          <w:p w14:paraId="1BE6F960" w14:textId="54E6BFEC" w:rsidR="00FE62DC" w:rsidRDefault="00FE62DC" w:rsidP="000D7DE8">
            <w:pPr>
              <w:pStyle w:val="NoSpacing"/>
            </w:pPr>
            <w:r>
              <w:lastRenderedPageBreak/>
              <w:t>Research Methodology</w:t>
            </w:r>
            <w:r w:rsidR="00B96185">
              <w:t xml:space="preserve"> </w:t>
            </w:r>
          </w:p>
        </w:tc>
        <w:tc>
          <w:tcPr>
            <w:tcW w:w="5670" w:type="dxa"/>
          </w:tcPr>
          <w:p w14:paraId="06F99911" w14:textId="36A7C5BA" w:rsidR="00FE62DC" w:rsidRDefault="00B96185" w:rsidP="000D7DE8">
            <w:pPr>
              <w:pStyle w:val="NoSpacing"/>
            </w:pPr>
            <w:r>
              <w:t>EDP 656</w:t>
            </w:r>
          </w:p>
        </w:tc>
        <w:tc>
          <w:tcPr>
            <w:tcW w:w="1890" w:type="dxa"/>
          </w:tcPr>
          <w:p w14:paraId="324AE353" w14:textId="77777777" w:rsidR="00FE62DC" w:rsidRDefault="00FE62DC" w:rsidP="000D7DE8">
            <w:pPr>
              <w:pStyle w:val="NoSpacing"/>
            </w:pPr>
          </w:p>
        </w:tc>
        <w:tc>
          <w:tcPr>
            <w:tcW w:w="2695" w:type="dxa"/>
          </w:tcPr>
          <w:p w14:paraId="2DBD6FA9" w14:textId="28647E38" w:rsidR="00FE62DC" w:rsidRDefault="00FE62DC" w:rsidP="000D7DE8">
            <w:pPr>
              <w:pStyle w:val="NoSpacing"/>
            </w:pPr>
          </w:p>
        </w:tc>
      </w:tr>
      <w:tr w:rsidR="00FE62DC" w14:paraId="7E5A3DB2" w14:textId="205C86D1" w:rsidTr="00264F08">
        <w:tc>
          <w:tcPr>
            <w:tcW w:w="4135" w:type="dxa"/>
          </w:tcPr>
          <w:p w14:paraId="1A201A88" w14:textId="5D595426" w:rsidR="00FE62DC" w:rsidRDefault="00FE62DC" w:rsidP="000D7DE8">
            <w:pPr>
              <w:pStyle w:val="NoSpacing"/>
            </w:pPr>
            <w:r>
              <w:t>Statistics</w:t>
            </w:r>
            <w:r w:rsidR="00B96185">
              <w:t xml:space="preserve"> </w:t>
            </w:r>
          </w:p>
        </w:tc>
        <w:tc>
          <w:tcPr>
            <w:tcW w:w="5670" w:type="dxa"/>
          </w:tcPr>
          <w:p w14:paraId="5CA69976" w14:textId="361C36E2" w:rsidR="00FE62DC" w:rsidRDefault="00B96185" w:rsidP="000D7DE8">
            <w:pPr>
              <w:pStyle w:val="NoSpacing"/>
            </w:pPr>
            <w:r>
              <w:t>EDP 558</w:t>
            </w:r>
          </w:p>
        </w:tc>
        <w:tc>
          <w:tcPr>
            <w:tcW w:w="1890" w:type="dxa"/>
          </w:tcPr>
          <w:p w14:paraId="149DFC74" w14:textId="77777777" w:rsidR="00FE62DC" w:rsidRDefault="00FE62DC" w:rsidP="000D7DE8">
            <w:pPr>
              <w:pStyle w:val="NoSpacing"/>
            </w:pPr>
          </w:p>
        </w:tc>
        <w:tc>
          <w:tcPr>
            <w:tcW w:w="2695" w:type="dxa"/>
          </w:tcPr>
          <w:p w14:paraId="18ACB2A8" w14:textId="6EFDAB35" w:rsidR="00FE62DC" w:rsidRDefault="00FE62DC" w:rsidP="000D7DE8">
            <w:pPr>
              <w:pStyle w:val="NoSpacing"/>
            </w:pPr>
          </w:p>
        </w:tc>
      </w:tr>
      <w:tr w:rsidR="00D0218C" w14:paraId="6CC139EF" w14:textId="77777777" w:rsidTr="00264F08">
        <w:tc>
          <w:tcPr>
            <w:tcW w:w="4135" w:type="dxa"/>
          </w:tcPr>
          <w:p w14:paraId="7A349DDE" w14:textId="671880BC" w:rsidR="00D0218C" w:rsidRDefault="00B96185" w:rsidP="000D7DE8">
            <w:pPr>
              <w:pStyle w:val="NoSpacing"/>
            </w:pPr>
            <w:r>
              <w:t>Scientific and Professional Ethics and Standards</w:t>
            </w:r>
          </w:p>
        </w:tc>
        <w:tc>
          <w:tcPr>
            <w:tcW w:w="5670" w:type="dxa"/>
          </w:tcPr>
          <w:p w14:paraId="4F994D8D" w14:textId="649C5AB6" w:rsidR="00D0218C" w:rsidRDefault="00B96185" w:rsidP="000D7DE8">
            <w:pPr>
              <w:pStyle w:val="NoSpacing"/>
            </w:pPr>
            <w:r>
              <w:t>EDP 688</w:t>
            </w:r>
          </w:p>
        </w:tc>
        <w:tc>
          <w:tcPr>
            <w:tcW w:w="1890" w:type="dxa"/>
          </w:tcPr>
          <w:p w14:paraId="4740F676" w14:textId="77777777" w:rsidR="00D0218C" w:rsidRDefault="00D0218C" w:rsidP="000D7DE8">
            <w:pPr>
              <w:pStyle w:val="NoSpacing"/>
            </w:pPr>
          </w:p>
        </w:tc>
        <w:tc>
          <w:tcPr>
            <w:tcW w:w="2695" w:type="dxa"/>
          </w:tcPr>
          <w:p w14:paraId="223BD759" w14:textId="77777777" w:rsidR="00D0218C" w:rsidRDefault="00D0218C" w:rsidP="000D7DE8">
            <w:pPr>
              <w:pStyle w:val="NoSpacing"/>
            </w:pPr>
          </w:p>
        </w:tc>
      </w:tr>
      <w:tr w:rsidR="00FE62DC" w14:paraId="2DA0DE97" w14:textId="4E9F1295" w:rsidTr="00264F08">
        <w:tc>
          <w:tcPr>
            <w:tcW w:w="4135" w:type="dxa"/>
          </w:tcPr>
          <w:p w14:paraId="66FDE334" w14:textId="76AFFE30" w:rsidR="00FE62DC" w:rsidRDefault="00FE62DC" w:rsidP="000D7DE8">
            <w:pPr>
              <w:pStyle w:val="NoSpacing"/>
            </w:pPr>
            <w:r>
              <w:t>Biological Bases of Behavior</w:t>
            </w:r>
            <w:r w:rsidR="00200BCE">
              <w:t xml:space="preserve"> (e.g., Physiological Psych)</w:t>
            </w:r>
          </w:p>
        </w:tc>
        <w:tc>
          <w:tcPr>
            <w:tcW w:w="5670" w:type="dxa"/>
          </w:tcPr>
          <w:p w14:paraId="35022060" w14:textId="7F22CE71" w:rsidR="00FE62DC" w:rsidRDefault="00B96185" w:rsidP="000D7DE8">
            <w:pPr>
              <w:pStyle w:val="NoSpacing"/>
            </w:pPr>
            <w:r>
              <w:t>PSY 627</w:t>
            </w:r>
          </w:p>
        </w:tc>
        <w:tc>
          <w:tcPr>
            <w:tcW w:w="1890" w:type="dxa"/>
          </w:tcPr>
          <w:p w14:paraId="655E31B2" w14:textId="77777777" w:rsidR="00FE62DC" w:rsidRDefault="00FE62DC" w:rsidP="000D7DE8">
            <w:pPr>
              <w:pStyle w:val="NoSpacing"/>
            </w:pPr>
          </w:p>
        </w:tc>
        <w:tc>
          <w:tcPr>
            <w:tcW w:w="2695" w:type="dxa"/>
          </w:tcPr>
          <w:p w14:paraId="4798CD19" w14:textId="55F64FBF" w:rsidR="00FE62DC" w:rsidRDefault="00FE62DC" w:rsidP="000D7DE8">
            <w:pPr>
              <w:pStyle w:val="NoSpacing"/>
            </w:pPr>
          </w:p>
        </w:tc>
      </w:tr>
      <w:tr w:rsidR="00FE62DC" w14:paraId="3809583F" w14:textId="6F5AEC9F" w:rsidTr="00264F08">
        <w:tc>
          <w:tcPr>
            <w:tcW w:w="4135" w:type="dxa"/>
          </w:tcPr>
          <w:p w14:paraId="0F8806EC" w14:textId="3758F53D" w:rsidR="00FE62DC" w:rsidRDefault="00D34C62" w:rsidP="000D7DE8">
            <w:pPr>
              <w:pStyle w:val="NoSpacing"/>
            </w:pPr>
            <w:r>
              <w:t>Cognitive-Affective Bases of Behavior</w:t>
            </w:r>
          </w:p>
        </w:tc>
        <w:tc>
          <w:tcPr>
            <w:tcW w:w="5670" w:type="dxa"/>
          </w:tcPr>
          <w:p w14:paraId="707E4AD2" w14:textId="7CA58A56" w:rsidR="00FE62DC" w:rsidRDefault="00B96185" w:rsidP="000D7DE8">
            <w:pPr>
              <w:pStyle w:val="NoSpacing"/>
            </w:pPr>
            <w:r>
              <w:t>EDP 603</w:t>
            </w:r>
          </w:p>
        </w:tc>
        <w:tc>
          <w:tcPr>
            <w:tcW w:w="1890" w:type="dxa"/>
          </w:tcPr>
          <w:p w14:paraId="3E1F29FD" w14:textId="77777777" w:rsidR="00FE62DC" w:rsidRDefault="00FE62DC" w:rsidP="000D7DE8">
            <w:pPr>
              <w:pStyle w:val="NoSpacing"/>
            </w:pPr>
          </w:p>
        </w:tc>
        <w:tc>
          <w:tcPr>
            <w:tcW w:w="2695" w:type="dxa"/>
          </w:tcPr>
          <w:p w14:paraId="0E34863A" w14:textId="0022478A" w:rsidR="00FE62DC" w:rsidRDefault="00FE62DC" w:rsidP="000D7DE8">
            <w:pPr>
              <w:pStyle w:val="NoSpacing"/>
            </w:pPr>
          </w:p>
        </w:tc>
      </w:tr>
      <w:tr w:rsidR="00FE62DC" w14:paraId="463D73DE" w14:textId="2BC7B2F5" w:rsidTr="00264F08">
        <w:tc>
          <w:tcPr>
            <w:tcW w:w="4135" w:type="dxa"/>
          </w:tcPr>
          <w:p w14:paraId="598B2966" w14:textId="6A4B09CA" w:rsidR="00FE62DC" w:rsidRDefault="00D34C62" w:rsidP="000D7DE8">
            <w:pPr>
              <w:pStyle w:val="NoSpacing"/>
            </w:pPr>
            <w:r>
              <w:t>Social Bases of Behavior</w:t>
            </w:r>
            <w:r w:rsidR="00200BCE">
              <w:t xml:space="preserve"> (e.g., Social Psychology)</w:t>
            </w:r>
          </w:p>
        </w:tc>
        <w:tc>
          <w:tcPr>
            <w:tcW w:w="5670" w:type="dxa"/>
          </w:tcPr>
          <w:p w14:paraId="4AC016F4" w14:textId="18314DBF" w:rsidR="00FE62DC" w:rsidRDefault="00B96185" w:rsidP="000D7DE8">
            <w:pPr>
              <w:pStyle w:val="NoSpacing"/>
            </w:pPr>
            <w:r>
              <w:t>EDP 513</w:t>
            </w:r>
          </w:p>
        </w:tc>
        <w:tc>
          <w:tcPr>
            <w:tcW w:w="1890" w:type="dxa"/>
          </w:tcPr>
          <w:p w14:paraId="310C7727" w14:textId="77777777" w:rsidR="00FE62DC" w:rsidRDefault="00FE62DC" w:rsidP="000D7DE8">
            <w:pPr>
              <w:pStyle w:val="NoSpacing"/>
            </w:pPr>
          </w:p>
        </w:tc>
        <w:tc>
          <w:tcPr>
            <w:tcW w:w="2695" w:type="dxa"/>
          </w:tcPr>
          <w:p w14:paraId="27292A96" w14:textId="0AEFEAB9" w:rsidR="00FE62DC" w:rsidRDefault="00FE62DC" w:rsidP="000D7DE8">
            <w:pPr>
              <w:pStyle w:val="NoSpacing"/>
            </w:pPr>
          </w:p>
        </w:tc>
      </w:tr>
      <w:tr w:rsidR="00FE62DC" w14:paraId="05B0FCD4" w14:textId="244C25D2" w:rsidTr="00264F08">
        <w:tc>
          <w:tcPr>
            <w:tcW w:w="4135" w:type="dxa"/>
          </w:tcPr>
          <w:p w14:paraId="3E92F4B3" w14:textId="73A1FE69" w:rsidR="00FE62DC" w:rsidRDefault="00886DBD" w:rsidP="000D7DE8">
            <w:pPr>
              <w:pStyle w:val="NoSpacing"/>
            </w:pPr>
            <w:r>
              <w:t>Individual Differences (e.g., Human Development)</w:t>
            </w:r>
          </w:p>
        </w:tc>
        <w:tc>
          <w:tcPr>
            <w:tcW w:w="5670" w:type="dxa"/>
          </w:tcPr>
          <w:p w14:paraId="26C243D5" w14:textId="5AD55031" w:rsidR="00FE62DC" w:rsidRDefault="00B96185" w:rsidP="000D7DE8">
            <w:pPr>
              <w:pStyle w:val="NoSpacing"/>
            </w:pPr>
            <w:r>
              <w:t>EDP 600</w:t>
            </w:r>
          </w:p>
        </w:tc>
        <w:tc>
          <w:tcPr>
            <w:tcW w:w="1890" w:type="dxa"/>
          </w:tcPr>
          <w:p w14:paraId="2E622544" w14:textId="77777777" w:rsidR="00FE62DC" w:rsidRDefault="00FE62DC" w:rsidP="000D7DE8">
            <w:pPr>
              <w:pStyle w:val="NoSpacing"/>
            </w:pPr>
          </w:p>
        </w:tc>
        <w:tc>
          <w:tcPr>
            <w:tcW w:w="2695" w:type="dxa"/>
          </w:tcPr>
          <w:p w14:paraId="1853B1F9" w14:textId="64D083EE" w:rsidR="00FE62DC" w:rsidRDefault="00FE62DC" w:rsidP="000D7DE8">
            <w:pPr>
              <w:pStyle w:val="NoSpacing"/>
            </w:pPr>
          </w:p>
        </w:tc>
      </w:tr>
      <w:tr w:rsidR="00FE62DC" w14:paraId="4CEF43E2" w14:textId="2D3114D0" w:rsidTr="00264F08">
        <w:tc>
          <w:tcPr>
            <w:tcW w:w="4135" w:type="dxa"/>
          </w:tcPr>
          <w:p w14:paraId="71DFF833" w14:textId="07E4C497" w:rsidR="00FE62DC" w:rsidRDefault="00167482" w:rsidP="000D7DE8">
            <w:pPr>
              <w:pStyle w:val="NoSpacing"/>
            </w:pPr>
            <w:r>
              <w:t>Psychopathology, Advanced Abnormal Psychology</w:t>
            </w:r>
          </w:p>
        </w:tc>
        <w:tc>
          <w:tcPr>
            <w:tcW w:w="5670" w:type="dxa"/>
          </w:tcPr>
          <w:p w14:paraId="3841BCA8" w14:textId="0DFFFE7E" w:rsidR="00FE62DC" w:rsidRDefault="00A80609" w:rsidP="000D7DE8">
            <w:pPr>
              <w:pStyle w:val="NoSpacing"/>
            </w:pPr>
            <w:r>
              <w:t>EDP 650</w:t>
            </w:r>
          </w:p>
        </w:tc>
        <w:tc>
          <w:tcPr>
            <w:tcW w:w="1890" w:type="dxa"/>
          </w:tcPr>
          <w:p w14:paraId="311877A4" w14:textId="77777777" w:rsidR="00FE62DC" w:rsidRDefault="00FE62DC" w:rsidP="000D7DE8">
            <w:pPr>
              <w:pStyle w:val="NoSpacing"/>
            </w:pPr>
          </w:p>
        </w:tc>
        <w:tc>
          <w:tcPr>
            <w:tcW w:w="2695" w:type="dxa"/>
          </w:tcPr>
          <w:p w14:paraId="4EF83C23" w14:textId="36889713" w:rsidR="00FE62DC" w:rsidRDefault="00FE62DC" w:rsidP="000D7DE8">
            <w:pPr>
              <w:pStyle w:val="NoSpacing"/>
            </w:pPr>
          </w:p>
        </w:tc>
      </w:tr>
      <w:tr w:rsidR="00FE62DC" w14:paraId="7DC66966" w14:textId="6680AEB8" w:rsidTr="00264F08">
        <w:tc>
          <w:tcPr>
            <w:tcW w:w="4135" w:type="dxa"/>
          </w:tcPr>
          <w:p w14:paraId="120C208D" w14:textId="3590946A" w:rsidR="00FE62DC" w:rsidRDefault="00167482" w:rsidP="000D7DE8">
            <w:pPr>
              <w:pStyle w:val="NoSpacing"/>
            </w:pPr>
            <w:r>
              <w:t>Counseling Theories, Techniques, or Systems</w:t>
            </w:r>
          </w:p>
        </w:tc>
        <w:tc>
          <w:tcPr>
            <w:tcW w:w="5670" w:type="dxa"/>
          </w:tcPr>
          <w:p w14:paraId="764986D4" w14:textId="57D43E8E" w:rsidR="00FE62DC" w:rsidRDefault="00A80609" w:rsidP="000D7DE8">
            <w:pPr>
              <w:pStyle w:val="NoSpacing"/>
            </w:pPr>
            <w:r>
              <w:t>EDP 605 (or 652)</w:t>
            </w:r>
          </w:p>
        </w:tc>
        <w:tc>
          <w:tcPr>
            <w:tcW w:w="1890" w:type="dxa"/>
          </w:tcPr>
          <w:p w14:paraId="59CF4AF6" w14:textId="77777777" w:rsidR="00FE62DC" w:rsidRDefault="00FE62DC" w:rsidP="000D7DE8">
            <w:pPr>
              <w:pStyle w:val="NoSpacing"/>
            </w:pPr>
          </w:p>
        </w:tc>
        <w:tc>
          <w:tcPr>
            <w:tcW w:w="2695" w:type="dxa"/>
          </w:tcPr>
          <w:p w14:paraId="71BBC479" w14:textId="690E047E" w:rsidR="00FE62DC" w:rsidRDefault="00FE62DC" w:rsidP="000D7DE8">
            <w:pPr>
              <w:pStyle w:val="NoSpacing"/>
            </w:pPr>
          </w:p>
        </w:tc>
      </w:tr>
      <w:tr w:rsidR="001E65A2" w14:paraId="2C342F29" w14:textId="77777777" w:rsidTr="00264F08">
        <w:tc>
          <w:tcPr>
            <w:tcW w:w="4135" w:type="dxa"/>
          </w:tcPr>
          <w:p w14:paraId="6576D8C6" w14:textId="4ACC7F5A" w:rsidR="001E65A2" w:rsidRDefault="00D75189" w:rsidP="000D7DE8">
            <w:pPr>
              <w:pStyle w:val="NoSpacing"/>
            </w:pPr>
            <w:r>
              <w:t>Practicum in Counseling</w:t>
            </w:r>
          </w:p>
        </w:tc>
        <w:tc>
          <w:tcPr>
            <w:tcW w:w="5670" w:type="dxa"/>
          </w:tcPr>
          <w:p w14:paraId="1B67062A" w14:textId="5027233C" w:rsidR="001E65A2" w:rsidRDefault="00A80609" w:rsidP="000D7DE8">
            <w:pPr>
              <w:pStyle w:val="NoSpacing"/>
            </w:pPr>
            <w:r>
              <w:t>EDP 665 (when at a practicum focused on talk therapy)</w:t>
            </w:r>
          </w:p>
        </w:tc>
        <w:tc>
          <w:tcPr>
            <w:tcW w:w="1890" w:type="dxa"/>
          </w:tcPr>
          <w:p w14:paraId="5A6431C1" w14:textId="77777777" w:rsidR="001E65A2" w:rsidRDefault="001E65A2" w:rsidP="000D7DE8">
            <w:pPr>
              <w:pStyle w:val="NoSpacing"/>
            </w:pPr>
          </w:p>
        </w:tc>
        <w:tc>
          <w:tcPr>
            <w:tcW w:w="2695" w:type="dxa"/>
          </w:tcPr>
          <w:p w14:paraId="50D5914E" w14:textId="77777777" w:rsidR="001E65A2" w:rsidRDefault="001E65A2" w:rsidP="000D7DE8">
            <w:pPr>
              <w:pStyle w:val="NoSpacing"/>
            </w:pPr>
          </w:p>
        </w:tc>
      </w:tr>
      <w:tr w:rsidR="00D75189" w14:paraId="2D3E9957" w14:textId="77777777" w:rsidTr="00264F08">
        <w:tc>
          <w:tcPr>
            <w:tcW w:w="4135" w:type="dxa"/>
          </w:tcPr>
          <w:p w14:paraId="7E8B9F9B" w14:textId="07C29FF9" w:rsidR="00D75189" w:rsidRDefault="001113B1" w:rsidP="000D7DE8">
            <w:pPr>
              <w:pStyle w:val="NoSpacing"/>
            </w:pPr>
            <w:r>
              <w:t>Assessment of Intellectual, Personal, Social and Vocational Functioning of the Individual</w:t>
            </w:r>
          </w:p>
        </w:tc>
        <w:tc>
          <w:tcPr>
            <w:tcW w:w="5670" w:type="dxa"/>
          </w:tcPr>
          <w:p w14:paraId="4D7702D5" w14:textId="74674A25" w:rsidR="00D75189" w:rsidRDefault="001113B1" w:rsidP="000D7DE8">
            <w:pPr>
              <w:pStyle w:val="NoSpacing"/>
            </w:pPr>
            <w:r>
              <w:t>EDP 642</w:t>
            </w:r>
            <w:r w:rsidR="00A80609">
              <w:t xml:space="preserve"> (or 640)</w:t>
            </w:r>
          </w:p>
        </w:tc>
        <w:tc>
          <w:tcPr>
            <w:tcW w:w="1890" w:type="dxa"/>
          </w:tcPr>
          <w:p w14:paraId="69B4733A" w14:textId="77777777" w:rsidR="00D75189" w:rsidRDefault="00D75189" w:rsidP="000D7DE8">
            <w:pPr>
              <w:pStyle w:val="NoSpacing"/>
            </w:pPr>
          </w:p>
        </w:tc>
        <w:tc>
          <w:tcPr>
            <w:tcW w:w="2695" w:type="dxa"/>
          </w:tcPr>
          <w:p w14:paraId="4AB56DB5" w14:textId="77777777" w:rsidR="00D75189" w:rsidRDefault="00D75189" w:rsidP="000D7DE8">
            <w:pPr>
              <w:pStyle w:val="NoSpacing"/>
            </w:pPr>
          </w:p>
        </w:tc>
      </w:tr>
      <w:tr w:rsidR="001E65A2" w14:paraId="4D101EAD" w14:textId="77777777" w:rsidTr="00264F08">
        <w:tc>
          <w:tcPr>
            <w:tcW w:w="4135" w:type="dxa"/>
          </w:tcPr>
          <w:p w14:paraId="6901F8DB" w14:textId="3CB0CB1D" w:rsidR="001E65A2" w:rsidRDefault="00D75189" w:rsidP="000D7DE8">
            <w:pPr>
              <w:pStyle w:val="NoSpacing"/>
            </w:pPr>
            <w:r>
              <w:t>Practicum in Assessment</w:t>
            </w:r>
          </w:p>
        </w:tc>
        <w:tc>
          <w:tcPr>
            <w:tcW w:w="5670" w:type="dxa"/>
          </w:tcPr>
          <w:p w14:paraId="0BB4D5E9" w14:textId="1BD4DD25" w:rsidR="001E65A2" w:rsidRDefault="00A80609" w:rsidP="000D7DE8">
            <w:pPr>
              <w:pStyle w:val="NoSpacing"/>
            </w:pPr>
            <w:r>
              <w:t>EDP 665 (when at a practicum with a strong psychological assessment component)</w:t>
            </w:r>
          </w:p>
        </w:tc>
        <w:tc>
          <w:tcPr>
            <w:tcW w:w="1890" w:type="dxa"/>
          </w:tcPr>
          <w:p w14:paraId="337EF1C9" w14:textId="77777777" w:rsidR="001E65A2" w:rsidRDefault="001E65A2" w:rsidP="000D7DE8">
            <w:pPr>
              <w:pStyle w:val="NoSpacing"/>
            </w:pPr>
          </w:p>
        </w:tc>
        <w:tc>
          <w:tcPr>
            <w:tcW w:w="2695" w:type="dxa"/>
          </w:tcPr>
          <w:p w14:paraId="280E70F5" w14:textId="77777777" w:rsidR="001E65A2" w:rsidRDefault="001E65A2" w:rsidP="000D7DE8">
            <w:pPr>
              <w:pStyle w:val="NoSpacing"/>
            </w:pPr>
          </w:p>
        </w:tc>
      </w:tr>
      <w:tr w:rsidR="001E65A2" w14:paraId="07491743" w14:textId="77777777" w:rsidTr="00264F08">
        <w:tc>
          <w:tcPr>
            <w:tcW w:w="4135" w:type="dxa"/>
          </w:tcPr>
          <w:p w14:paraId="07F5F089" w14:textId="6377E295" w:rsidR="001E65A2" w:rsidRDefault="00A80609" w:rsidP="000D7DE8">
            <w:pPr>
              <w:pStyle w:val="NoSpacing"/>
            </w:pPr>
            <w:r>
              <w:t>Theories of Career Counseling and Development</w:t>
            </w:r>
          </w:p>
        </w:tc>
        <w:tc>
          <w:tcPr>
            <w:tcW w:w="5670" w:type="dxa"/>
          </w:tcPr>
          <w:p w14:paraId="01195F69" w14:textId="17E21799" w:rsidR="001E65A2" w:rsidRDefault="00A80609" w:rsidP="000D7DE8">
            <w:pPr>
              <w:pStyle w:val="NoSpacing"/>
            </w:pPr>
            <w:r>
              <w:t>EDP 666</w:t>
            </w:r>
          </w:p>
        </w:tc>
        <w:tc>
          <w:tcPr>
            <w:tcW w:w="1890" w:type="dxa"/>
          </w:tcPr>
          <w:p w14:paraId="456DF5FE" w14:textId="77777777" w:rsidR="001E65A2" w:rsidRDefault="001E65A2" w:rsidP="000D7DE8">
            <w:pPr>
              <w:pStyle w:val="NoSpacing"/>
            </w:pPr>
          </w:p>
        </w:tc>
        <w:tc>
          <w:tcPr>
            <w:tcW w:w="2695" w:type="dxa"/>
          </w:tcPr>
          <w:p w14:paraId="2682E99E" w14:textId="77777777" w:rsidR="001E65A2" w:rsidRDefault="001E65A2" w:rsidP="000D7DE8">
            <w:pPr>
              <w:pStyle w:val="NoSpacing"/>
            </w:pPr>
          </w:p>
        </w:tc>
      </w:tr>
    </w:tbl>
    <w:p w14:paraId="086F3F5C" w14:textId="0E53DBD3" w:rsidR="0038587A" w:rsidRDefault="0051257A" w:rsidP="000D7DE8">
      <w:pPr>
        <w:pStyle w:val="NoSpacing"/>
      </w:pPr>
      <w:r>
        <w:t>Note: you may be ineligible for future</w:t>
      </w:r>
      <w:r w:rsidR="00E74D0A">
        <w:t xml:space="preserve"> psychology</w:t>
      </w:r>
      <w:r>
        <w:t xml:space="preserve"> licensure if you answered “No” at least once in the third or fourth column of this Table.</w:t>
      </w:r>
    </w:p>
    <w:sectPr w:rsidR="0038587A" w:rsidSect="0075300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FE2D6" w14:textId="77777777" w:rsidR="001A1CCF" w:rsidRDefault="001A1CCF" w:rsidP="0058513E">
      <w:r>
        <w:separator/>
      </w:r>
    </w:p>
  </w:endnote>
  <w:endnote w:type="continuationSeparator" w:id="0">
    <w:p w14:paraId="6E0164C0" w14:textId="77777777" w:rsidR="001A1CCF" w:rsidRDefault="001A1CCF" w:rsidP="0058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12267" w14:textId="77777777" w:rsidR="001A1CCF" w:rsidRDefault="001A1CCF" w:rsidP="0058513E">
      <w:r>
        <w:separator/>
      </w:r>
    </w:p>
  </w:footnote>
  <w:footnote w:type="continuationSeparator" w:id="0">
    <w:p w14:paraId="210BE99A" w14:textId="77777777" w:rsidR="001A1CCF" w:rsidRDefault="001A1CCF" w:rsidP="00585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2146"/>
    <w:multiLevelType w:val="hybridMultilevel"/>
    <w:tmpl w:val="43D80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C34B2"/>
    <w:multiLevelType w:val="hybridMultilevel"/>
    <w:tmpl w:val="8AB254F8"/>
    <w:lvl w:ilvl="0" w:tplc="CFE061E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209F7"/>
    <w:multiLevelType w:val="hybridMultilevel"/>
    <w:tmpl w:val="15048B1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4FB3EFF"/>
    <w:multiLevelType w:val="hybridMultilevel"/>
    <w:tmpl w:val="22AA5D4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A3002F9"/>
    <w:multiLevelType w:val="hybridMultilevel"/>
    <w:tmpl w:val="50402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781841"/>
    <w:multiLevelType w:val="hybridMultilevel"/>
    <w:tmpl w:val="5DB08CF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6D32C9A"/>
    <w:multiLevelType w:val="hybridMultilevel"/>
    <w:tmpl w:val="EA10290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6B96368"/>
    <w:multiLevelType w:val="hybridMultilevel"/>
    <w:tmpl w:val="84D8F0F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D987BDC"/>
    <w:multiLevelType w:val="hybridMultilevel"/>
    <w:tmpl w:val="594C108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92178366">
    <w:abstractNumId w:val="1"/>
  </w:num>
  <w:num w:numId="2" w16cid:durableId="1229733840">
    <w:abstractNumId w:val="0"/>
  </w:num>
  <w:num w:numId="3" w16cid:durableId="221256733">
    <w:abstractNumId w:val="4"/>
  </w:num>
  <w:num w:numId="4" w16cid:durableId="60032630">
    <w:abstractNumId w:val="2"/>
  </w:num>
  <w:num w:numId="5" w16cid:durableId="1056010230">
    <w:abstractNumId w:val="6"/>
  </w:num>
  <w:num w:numId="6" w16cid:durableId="147093065">
    <w:abstractNumId w:val="8"/>
  </w:num>
  <w:num w:numId="7" w16cid:durableId="792090687">
    <w:abstractNumId w:val="5"/>
  </w:num>
  <w:num w:numId="8" w16cid:durableId="2059815413">
    <w:abstractNumId w:val="3"/>
  </w:num>
  <w:num w:numId="9" w16cid:durableId="12119186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625"/>
    <w:rsid w:val="00001D0E"/>
    <w:rsid w:val="000029F2"/>
    <w:rsid w:val="00040264"/>
    <w:rsid w:val="00044FF4"/>
    <w:rsid w:val="00061C85"/>
    <w:rsid w:val="000D6386"/>
    <w:rsid w:val="000D7DE8"/>
    <w:rsid w:val="000E072F"/>
    <w:rsid w:val="001113B1"/>
    <w:rsid w:val="0011373D"/>
    <w:rsid w:val="00130DA6"/>
    <w:rsid w:val="00136330"/>
    <w:rsid w:val="00167482"/>
    <w:rsid w:val="001A1CCF"/>
    <w:rsid w:val="001A7232"/>
    <w:rsid w:val="001D0EF0"/>
    <w:rsid w:val="001E65A2"/>
    <w:rsid w:val="001F2FFB"/>
    <w:rsid w:val="00200BCE"/>
    <w:rsid w:val="0025328C"/>
    <w:rsid w:val="00264F08"/>
    <w:rsid w:val="002801A1"/>
    <w:rsid w:val="002B231E"/>
    <w:rsid w:val="002D0691"/>
    <w:rsid w:val="0038587A"/>
    <w:rsid w:val="0039331F"/>
    <w:rsid w:val="00434D5C"/>
    <w:rsid w:val="004578C4"/>
    <w:rsid w:val="00487F4F"/>
    <w:rsid w:val="00490446"/>
    <w:rsid w:val="00497FFE"/>
    <w:rsid w:val="004C5100"/>
    <w:rsid w:val="004E5572"/>
    <w:rsid w:val="004F589D"/>
    <w:rsid w:val="0051257A"/>
    <w:rsid w:val="005300BF"/>
    <w:rsid w:val="005520DE"/>
    <w:rsid w:val="00552127"/>
    <w:rsid w:val="0055627D"/>
    <w:rsid w:val="005616FD"/>
    <w:rsid w:val="00582753"/>
    <w:rsid w:val="0058513E"/>
    <w:rsid w:val="005B1B81"/>
    <w:rsid w:val="005B28F8"/>
    <w:rsid w:val="005C1425"/>
    <w:rsid w:val="005C19D1"/>
    <w:rsid w:val="005F1A7E"/>
    <w:rsid w:val="00633294"/>
    <w:rsid w:val="0063538C"/>
    <w:rsid w:val="00676837"/>
    <w:rsid w:val="006B7AAD"/>
    <w:rsid w:val="006C33E5"/>
    <w:rsid w:val="006C491F"/>
    <w:rsid w:val="00727947"/>
    <w:rsid w:val="00734F1F"/>
    <w:rsid w:val="00742344"/>
    <w:rsid w:val="00744527"/>
    <w:rsid w:val="007518FC"/>
    <w:rsid w:val="00753004"/>
    <w:rsid w:val="00774523"/>
    <w:rsid w:val="007848D8"/>
    <w:rsid w:val="007A3023"/>
    <w:rsid w:val="007B13B0"/>
    <w:rsid w:val="007B7C57"/>
    <w:rsid w:val="007C2F24"/>
    <w:rsid w:val="007C7297"/>
    <w:rsid w:val="007E0AA1"/>
    <w:rsid w:val="007E22C2"/>
    <w:rsid w:val="007F4584"/>
    <w:rsid w:val="00810D43"/>
    <w:rsid w:val="00816458"/>
    <w:rsid w:val="008205FB"/>
    <w:rsid w:val="00840F0E"/>
    <w:rsid w:val="00886DBD"/>
    <w:rsid w:val="008D3FC8"/>
    <w:rsid w:val="00911033"/>
    <w:rsid w:val="00937684"/>
    <w:rsid w:val="009A65EC"/>
    <w:rsid w:val="009B0AE8"/>
    <w:rsid w:val="009B4B10"/>
    <w:rsid w:val="00A04A92"/>
    <w:rsid w:val="00A20E22"/>
    <w:rsid w:val="00A40896"/>
    <w:rsid w:val="00A40E0A"/>
    <w:rsid w:val="00A52A62"/>
    <w:rsid w:val="00A80609"/>
    <w:rsid w:val="00A951CF"/>
    <w:rsid w:val="00AD3216"/>
    <w:rsid w:val="00B32F22"/>
    <w:rsid w:val="00B368D6"/>
    <w:rsid w:val="00B50B4A"/>
    <w:rsid w:val="00B62D40"/>
    <w:rsid w:val="00B700EE"/>
    <w:rsid w:val="00B750EB"/>
    <w:rsid w:val="00B96185"/>
    <w:rsid w:val="00BB49CA"/>
    <w:rsid w:val="00BC69C4"/>
    <w:rsid w:val="00BE47DE"/>
    <w:rsid w:val="00BE7372"/>
    <w:rsid w:val="00C336A1"/>
    <w:rsid w:val="00C351B2"/>
    <w:rsid w:val="00C54625"/>
    <w:rsid w:val="00C607DC"/>
    <w:rsid w:val="00C81540"/>
    <w:rsid w:val="00C82BDA"/>
    <w:rsid w:val="00C84123"/>
    <w:rsid w:val="00CA7CF8"/>
    <w:rsid w:val="00D0218C"/>
    <w:rsid w:val="00D34C62"/>
    <w:rsid w:val="00D3565C"/>
    <w:rsid w:val="00D46728"/>
    <w:rsid w:val="00D55BB3"/>
    <w:rsid w:val="00D659DF"/>
    <w:rsid w:val="00D75189"/>
    <w:rsid w:val="00D91D1E"/>
    <w:rsid w:val="00DA0AD6"/>
    <w:rsid w:val="00DE6512"/>
    <w:rsid w:val="00E00274"/>
    <w:rsid w:val="00E004C3"/>
    <w:rsid w:val="00E10281"/>
    <w:rsid w:val="00E145DE"/>
    <w:rsid w:val="00E17392"/>
    <w:rsid w:val="00E41A38"/>
    <w:rsid w:val="00E576BD"/>
    <w:rsid w:val="00E63A4D"/>
    <w:rsid w:val="00E72B60"/>
    <w:rsid w:val="00E74D0A"/>
    <w:rsid w:val="00EB2B18"/>
    <w:rsid w:val="00EB53B5"/>
    <w:rsid w:val="00EC615C"/>
    <w:rsid w:val="00EE2628"/>
    <w:rsid w:val="00F25772"/>
    <w:rsid w:val="00F3662B"/>
    <w:rsid w:val="00F50709"/>
    <w:rsid w:val="00F554C4"/>
    <w:rsid w:val="00F750E0"/>
    <w:rsid w:val="00F82E98"/>
    <w:rsid w:val="00FA1D17"/>
    <w:rsid w:val="00FE62DC"/>
    <w:rsid w:val="2102A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C0288"/>
  <w15:chartTrackingRefBased/>
  <w15:docId w15:val="{0FDAA9AC-6BCE-4233-A4BC-4E75D23C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434D5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4D5C"/>
    <w:pPr>
      <w:spacing w:after="0" w:line="240" w:lineRule="auto"/>
    </w:pPr>
    <w:rPr>
      <w:rFonts w:ascii="Times New Roman" w:hAnsi="Times New Roman"/>
      <w:sz w:val="24"/>
    </w:rPr>
  </w:style>
  <w:style w:type="paragraph" w:styleId="Header">
    <w:name w:val="header"/>
    <w:basedOn w:val="Normal"/>
    <w:link w:val="HeaderChar"/>
    <w:uiPriority w:val="99"/>
    <w:unhideWhenUsed/>
    <w:rsid w:val="0058513E"/>
    <w:pPr>
      <w:tabs>
        <w:tab w:val="center" w:pos="4680"/>
        <w:tab w:val="right" w:pos="9360"/>
      </w:tabs>
    </w:pPr>
  </w:style>
  <w:style w:type="character" w:customStyle="1" w:styleId="HeaderChar">
    <w:name w:val="Header Char"/>
    <w:basedOn w:val="DefaultParagraphFont"/>
    <w:link w:val="Header"/>
    <w:uiPriority w:val="99"/>
    <w:rsid w:val="0058513E"/>
    <w:rPr>
      <w:rFonts w:ascii="Times New Roman" w:hAnsi="Times New Roman"/>
      <w:sz w:val="24"/>
    </w:rPr>
  </w:style>
  <w:style w:type="paragraph" w:styleId="Footer">
    <w:name w:val="footer"/>
    <w:basedOn w:val="Normal"/>
    <w:link w:val="FooterChar"/>
    <w:uiPriority w:val="99"/>
    <w:unhideWhenUsed/>
    <w:rsid w:val="0058513E"/>
    <w:pPr>
      <w:tabs>
        <w:tab w:val="center" w:pos="4680"/>
        <w:tab w:val="right" w:pos="9360"/>
      </w:tabs>
    </w:pPr>
  </w:style>
  <w:style w:type="character" w:customStyle="1" w:styleId="FooterChar">
    <w:name w:val="Footer Char"/>
    <w:basedOn w:val="DefaultParagraphFont"/>
    <w:link w:val="Footer"/>
    <w:uiPriority w:val="99"/>
    <w:rsid w:val="0058513E"/>
    <w:rPr>
      <w:rFonts w:ascii="Times New Roman" w:hAnsi="Times New Roman"/>
      <w:sz w:val="24"/>
    </w:rPr>
  </w:style>
  <w:style w:type="table" w:styleId="TableGrid">
    <w:name w:val="Table Grid"/>
    <w:basedOn w:val="TableNormal"/>
    <w:uiPriority w:val="39"/>
    <w:rsid w:val="000D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D1322382C20F469C8D5E931A01863A" ma:contentTypeVersion="15" ma:contentTypeDescription="Create a new document." ma:contentTypeScope="" ma:versionID="7f7b674469513e4b2afd8617f1e573d2">
  <xsd:schema xmlns:xsd="http://www.w3.org/2001/XMLSchema" xmlns:xs="http://www.w3.org/2001/XMLSchema" xmlns:p="http://schemas.microsoft.com/office/2006/metadata/properties" xmlns:ns2="8ea3c3a0-e8c1-4e74-8854-a4d27a787b2b" xmlns:ns3="547fa732-8d55-49e9-9fa8-be7824205de7" targetNamespace="http://schemas.microsoft.com/office/2006/metadata/properties" ma:root="true" ma:fieldsID="084d69bd7ce081ad24dbf470dd619d9e" ns2:_="" ns3:_="">
    <xsd:import namespace="8ea3c3a0-e8c1-4e74-8854-a4d27a787b2b"/>
    <xsd:import namespace="547fa732-8d55-49e9-9fa8-be7824205de7"/>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3c3a0-e8c1-4e74-8854-a4d27a787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560d88b-9459-45c3-8a30-9c03b99f5b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fa732-8d55-49e9-9fa8-be7824205de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289a425-a856-45da-becf-18187cfcaae8}" ma:internalName="TaxCatchAll" ma:showField="CatchAllData" ma:web="547fa732-8d55-49e9-9fa8-be7824205d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a3c3a0-e8c1-4e74-8854-a4d27a787b2b">
      <Terms xmlns="http://schemas.microsoft.com/office/infopath/2007/PartnerControls"/>
    </lcf76f155ced4ddcb4097134ff3c332f>
    <TaxCatchAll xmlns="547fa732-8d55-49e9-9fa8-be7824205d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02614-8005-48CA-ACD1-B59FF7D03268}"/>
</file>

<file path=customXml/itemProps2.xml><?xml version="1.0" encoding="utf-8"?>
<ds:datastoreItem xmlns:ds="http://schemas.openxmlformats.org/officeDocument/2006/customXml" ds:itemID="{C24D6232-9FEE-46A4-83F7-6A00A6F896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BAE912-73BF-49FB-953A-5C4F37C735FE}">
  <ds:schemaRefs>
    <ds:schemaRef ds:uri="http://schemas.microsoft.com/sharepoint/v3/contenttype/forms"/>
  </ds:schemaRefs>
</ds:datastoreItem>
</file>

<file path=customXml/itemProps4.xml><?xml version="1.0" encoding="utf-8"?>
<ds:datastoreItem xmlns:ds="http://schemas.openxmlformats.org/officeDocument/2006/customXml" ds:itemID="{7F56F56D-3E29-4A6E-A61B-78D09937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1946</Words>
  <Characters>11098</Characters>
  <Application>Microsoft Office Word</Application>
  <DocSecurity>0</DocSecurity>
  <Lines>92</Lines>
  <Paragraphs>26</Paragraphs>
  <ScaleCrop>false</ScaleCrop>
  <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Hammer</dc:creator>
  <cp:keywords/>
  <dc:description/>
  <cp:lastModifiedBy>Hammer, Joseph H.</cp:lastModifiedBy>
  <cp:revision>47</cp:revision>
  <dcterms:created xsi:type="dcterms:W3CDTF">2022-08-17T13:45:00Z</dcterms:created>
  <dcterms:modified xsi:type="dcterms:W3CDTF">2022-08-19T19:37:00Z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0x01010056D1322382C20F469C8D5E931A01863A</vt:lpwstr>
  </property>
</Properties>
</file>